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296" w:rsidRDefault="00503296" w:rsidP="00503296">
      <w:pPr>
        <w:ind w:right="1274"/>
        <w:jc w:val="both"/>
        <w:rPr>
          <w:rFonts w:ascii="Tahoma" w:hAnsi="Tahoma" w:cs="Tahoma"/>
          <w:b/>
          <w:i/>
          <w:sz w:val="21"/>
          <w:szCs w:val="21"/>
        </w:rPr>
      </w:pPr>
    </w:p>
    <w:p w:rsidR="001559F2" w:rsidRPr="00D147C4" w:rsidRDefault="001559F2" w:rsidP="00503296">
      <w:pPr>
        <w:ind w:right="1274"/>
        <w:jc w:val="both"/>
        <w:rPr>
          <w:rFonts w:ascii="Tahoma" w:hAnsi="Tahoma" w:cs="Tahoma"/>
          <w:b/>
          <w:i/>
          <w:sz w:val="21"/>
          <w:szCs w:val="21"/>
        </w:rPr>
      </w:pPr>
    </w:p>
    <w:p w:rsidR="00503296" w:rsidRPr="00D147C4" w:rsidRDefault="00503296" w:rsidP="00503296">
      <w:pPr>
        <w:ind w:left="2832" w:right="1843" w:hanging="1131"/>
        <w:jc w:val="both"/>
        <w:rPr>
          <w:rFonts w:ascii="Tahoma" w:hAnsi="Tahoma" w:cs="Tahoma"/>
          <w:b/>
          <w:i/>
          <w:sz w:val="19"/>
          <w:szCs w:val="19"/>
          <w:highlight w:val="yellow"/>
        </w:rPr>
      </w:pPr>
      <w:r w:rsidRPr="00D147C4">
        <w:rPr>
          <w:rFonts w:ascii="Tahoma" w:hAnsi="Tahoma" w:cs="Tahoma"/>
          <w:b/>
          <w:i/>
          <w:sz w:val="19"/>
          <w:szCs w:val="19"/>
        </w:rPr>
        <w:t xml:space="preserve">Sumilla:   </w:t>
      </w:r>
      <w:r w:rsidR="003B3C54" w:rsidRPr="00D147C4">
        <w:rPr>
          <w:rFonts w:ascii="Tahoma" w:hAnsi="Tahoma" w:cs="Tahoma"/>
          <w:b/>
          <w:i/>
          <w:sz w:val="19"/>
          <w:szCs w:val="19"/>
        </w:rPr>
        <w:t xml:space="preserve"> </w:t>
      </w:r>
      <w:r w:rsidR="00D147C4" w:rsidRPr="00D147C4">
        <w:rPr>
          <w:rFonts w:ascii="Tahoma" w:hAnsi="Tahoma" w:cs="Tahoma"/>
          <w:b/>
          <w:i/>
          <w:sz w:val="19"/>
          <w:szCs w:val="19"/>
        </w:rPr>
        <w:t>“</w:t>
      </w:r>
      <w:r w:rsidRPr="00D147C4">
        <w:rPr>
          <w:rFonts w:ascii="Tahoma" w:hAnsi="Tahoma" w:cs="Tahoma"/>
          <w:i/>
          <w:sz w:val="19"/>
          <w:szCs w:val="19"/>
        </w:rPr>
        <w:t>Por otro lado, el literal c) del artículo 76 del Reglamento establece que los postores y/o contratistas son responsables de la veracidad de los documentos e información que presentan para efectos de un proceso de selección determinado</w:t>
      </w:r>
      <w:r w:rsidR="00D147C4" w:rsidRPr="00D147C4">
        <w:rPr>
          <w:rFonts w:ascii="Tahoma" w:hAnsi="Tahoma" w:cs="Tahoma"/>
          <w:i/>
          <w:sz w:val="19"/>
          <w:szCs w:val="19"/>
        </w:rPr>
        <w:t>”</w:t>
      </w:r>
      <w:r w:rsidRPr="00D147C4">
        <w:rPr>
          <w:rFonts w:ascii="Tahoma" w:hAnsi="Tahoma" w:cs="Tahoma"/>
          <w:i/>
          <w:sz w:val="19"/>
          <w:szCs w:val="19"/>
        </w:rPr>
        <w:t>.</w:t>
      </w:r>
    </w:p>
    <w:p w:rsidR="00503296" w:rsidRPr="00D147C4" w:rsidRDefault="00503296" w:rsidP="00503296">
      <w:pPr>
        <w:ind w:left="2694" w:right="991" w:hanging="1418"/>
        <w:jc w:val="right"/>
        <w:rPr>
          <w:rFonts w:ascii="Tahoma" w:hAnsi="Tahoma" w:cs="Tahoma"/>
          <w:b/>
          <w:i/>
          <w:sz w:val="21"/>
          <w:szCs w:val="21"/>
          <w:highlight w:val="yellow"/>
        </w:rPr>
      </w:pPr>
    </w:p>
    <w:p w:rsidR="00503296" w:rsidRPr="00D147C4" w:rsidRDefault="00503296" w:rsidP="00503296">
      <w:pPr>
        <w:pStyle w:val="Textoindependiente3"/>
        <w:ind w:left="4956" w:firstLine="708"/>
        <w:rPr>
          <w:rFonts w:ascii="Tahoma" w:hAnsi="Tahoma" w:cs="Tahoma"/>
          <w:sz w:val="21"/>
          <w:szCs w:val="21"/>
        </w:rPr>
      </w:pPr>
      <w:r w:rsidRPr="00D147C4">
        <w:rPr>
          <w:rFonts w:ascii="Tahoma" w:hAnsi="Tahoma" w:cs="Tahoma"/>
          <w:sz w:val="21"/>
          <w:szCs w:val="21"/>
        </w:rPr>
        <w:t xml:space="preserve">Lima, </w:t>
      </w:r>
      <w:r w:rsidR="00F30E4E">
        <w:rPr>
          <w:rFonts w:ascii="Tahoma" w:hAnsi="Tahoma" w:cs="Tahoma"/>
          <w:sz w:val="21"/>
          <w:szCs w:val="21"/>
        </w:rPr>
        <w:t>27 de Mayo de 2011</w:t>
      </w:r>
    </w:p>
    <w:p w:rsidR="00503296" w:rsidRPr="00D147C4" w:rsidRDefault="00503296" w:rsidP="00503296">
      <w:pPr>
        <w:pStyle w:val="Textoindependiente3"/>
        <w:rPr>
          <w:rFonts w:ascii="Tahoma" w:hAnsi="Tahoma" w:cs="Tahoma"/>
          <w:b/>
          <w:sz w:val="21"/>
          <w:szCs w:val="21"/>
        </w:rPr>
      </w:pPr>
    </w:p>
    <w:p w:rsidR="00503296" w:rsidRPr="00D147C4" w:rsidRDefault="00503296" w:rsidP="00503296">
      <w:pPr>
        <w:tabs>
          <w:tab w:val="left" w:pos="8280"/>
        </w:tabs>
        <w:jc w:val="both"/>
        <w:rPr>
          <w:rFonts w:ascii="Tahoma" w:hAnsi="Tahoma" w:cs="Tahoma"/>
          <w:color w:val="000000"/>
          <w:sz w:val="21"/>
          <w:szCs w:val="21"/>
        </w:rPr>
      </w:pPr>
      <w:r w:rsidRPr="00D147C4">
        <w:rPr>
          <w:rFonts w:ascii="Tahoma" w:hAnsi="Tahoma" w:cs="Tahoma"/>
          <w:b/>
          <w:sz w:val="21"/>
          <w:szCs w:val="21"/>
        </w:rPr>
        <w:t>VISTO,</w:t>
      </w:r>
      <w:r w:rsidRPr="00D147C4">
        <w:rPr>
          <w:rFonts w:ascii="Tahoma" w:hAnsi="Tahoma" w:cs="Tahoma"/>
          <w:sz w:val="21"/>
          <w:szCs w:val="21"/>
        </w:rPr>
        <w:t xml:space="preserve"> </w:t>
      </w:r>
      <w:r w:rsidRPr="00D147C4">
        <w:rPr>
          <w:rFonts w:ascii="Tahoma" w:hAnsi="Tahoma" w:cs="Tahoma"/>
          <w:color w:val="000000"/>
          <w:sz w:val="21"/>
          <w:szCs w:val="21"/>
        </w:rPr>
        <w:t xml:space="preserve">en sesión de fecha </w:t>
      </w:r>
      <w:r w:rsidR="00D147C4" w:rsidRPr="00D147C4">
        <w:rPr>
          <w:rFonts w:ascii="Tahoma" w:hAnsi="Tahoma" w:cs="Tahoma"/>
          <w:color w:val="000000"/>
          <w:sz w:val="21"/>
          <w:szCs w:val="21"/>
        </w:rPr>
        <w:t>2</w:t>
      </w:r>
      <w:r w:rsidR="00383035" w:rsidRPr="00D147C4">
        <w:rPr>
          <w:rFonts w:ascii="Tahoma" w:hAnsi="Tahoma" w:cs="Tahoma"/>
          <w:color w:val="000000"/>
          <w:sz w:val="21"/>
          <w:szCs w:val="21"/>
        </w:rPr>
        <w:t>6 de mayo</w:t>
      </w:r>
      <w:r w:rsidRPr="00D147C4">
        <w:rPr>
          <w:rFonts w:ascii="Tahoma" w:hAnsi="Tahoma" w:cs="Tahoma"/>
          <w:color w:val="000000"/>
          <w:sz w:val="21"/>
          <w:szCs w:val="21"/>
        </w:rPr>
        <w:t xml:space="preserve"> de 2011 de la </w:t>
      </w:r>
      <w:r w:rsidR="00D46E7E" w:rsidRPr="00D147C4">
        <w:rPr>
          <w:rFonts w:ascii="Tahoma" w:hAnsi="Tahoma" w:cs="Tahoma"/>
          <w:color w:val="000000"/>
          <w:sz w:val="21"/>
          <w:szCs w:val="21"/>
        </w:rPr>
        <w:t>Primera</w:t>
      </w:r>
      <w:r w:rsidRPr="00D147C4">
        <w:rPr>
          <w:rFonts w:ascii="Tahoma" w:hAnsi="Tahoma" w:cs="Tahoma"/>
          <w:color w:val="000000"/>
          <w:sz w:val="21"/>
          <w:szCs w:val="21"/>
        </w:rPr>
        <w:t xml:space="preserve"> Sala del Tribunal de Contrataciones del Estado, el Expediente </w:t>
      </w:r>
      <w:r w:rsidRPr="00D147C4">
        <w:rPr>
          <w:rFonts w:ascii="Tahoma" w:hAnsi="Tahoma" w:cs="Tahoma"/>
          <w:sz w:val="21"/>
          <w:szCs w:val="21"/>
        </w:rPr>
        <w:t xml:space="preserve">№ </w:t>
      </w:r>
      <w:r w:rsidR="00D147C4" w:rsidRPr="00D147C4">
        <w:rPr>
          <w:rFonts w:ascii="Tahoma" w:hAnsi="Tahoma" w:cs="Tahoma"/>
          <w:sz w:val="21"/>
          <w:szCs w:val="21"/>
        </w:rPr>
        <w:t>142</w:t>
      </w:r>
      <w:r w:rsidR="00383035" w:rsidRPr="00D147C4">
        <w:rPr>
          <w:rFonts w:ascii="Tahoma" w:hAnsi="Tahoma" w:cs="Tahoma"/>
          <w:sz w:val="21"/>
          <w:szCs w:val="21"/>
        </w:rPr>
        <w:t>/20</w:t>
      </w:r>
      <w:r w:rsidR="00D147C4" w:rsidRPr="00D147C4">
        <w:rPr>
          <w:rFonts w:ascii="Tahoma" w:hAnsi="Tahoma" w:cs="Tahoma"/>
          <w:sz w:val="21"/>
          <w:szCs w:val="21"/>
        </w:rPr>
        <w:t>11</w:t>
      </w:r>
      <w:r w:rsidRPr="00D147C4">
        <w:rPr>
          <w:rFonts w:ascii="Tahoma" w:hAnsi="Tahoma" w:cs="Tahoma"/>
          <w:sz w:val="21"/>
          <w:szCs w:val="21"/>
        </w:rPr>
        <w:t>.TC</w:t>
      </w:r>
      <w:r w:rsidRPr="00D147C4">
        <w:rPr>
          <w:rFonts w:ascii="Tahoma" w:hAnsi="Tahoma" w:cs="Tahoma"/>
          <w:color w:val="000000"/>
          <w:sz w:val="21"/>
          <w:szCs w:val="21"/>
        </w:rPr>
        <w:t xml:space="preserve"> sobre el procedimiento administrativo sancionador iniciado contra </w:t>
      </w:r>
      <w:r w:rsidR="00D147C4" w:rsidRPr="00D147C4">
        <w:rPr>
          <w:rFonts w:ascii="Tahoma" w:hAnsi="Tahoma" w:cs="Tahoma"/>
          <w:color w:val="000000"/>
          <w:sz w:val="21"/>
          <w:szCs w:val="21"/>
        </w:rPr>
        <w:t>la señora ROSA ELIZABETH MENDEZ CASTILLO DE QUIT</w:t>
      </w:r>
      <w:r w:rsidR="00020EEE">
        <w:rPr>
          <w:rFonts w:ascii="Tahoma" w:hAnsi="Tahoma" w:cs="Tahoma"/>
          <w:color w:val="000000"/>
          <w:sz w:val="21"/>
          <w:szCs w:val="21"/>
        </w:rPr>
        <w:t>O</w:t>
      </w:r>
      <w:r w:rsidR="00D147C4" w:rsidRPr="00D147C4">
        <w:rPr>
          <w:rFonts w:ascii="Tahoma" w:hAnsi="Tahoma" w:cs="Tahoma"/>
          <w:color w:val="000000"/>
          <w:sz w:val="21"/>
          <w:szCs w:val="21"/>
        </w:rPr>
        <w:t xml:space="preserve">, </w:t>
      </w:r>
      <w:r w:rsidRPr="00D147C4">
        <w:rPr>
          <w:rFonts w:ascii="Tahoma" w:hAnsi="Tahoma" w:cs="Tahoma"/>
          <w:color w:val="000000"/>
          <w:sz w:val="21"/>
          <w:szCs w:val="21"/>
        </w:rPr>
        <w:t>por su supuesta responsabilidad en la presentación de documentos</w:t>
      </w:r>
      <w:r w:rsidR="00C24737" w:rsidRPr="00D147C4">
        <w:rPr>
          <w:rFonts w:ascii="Tahoma" w:hAnsi="Tahoma" w:cs="Tahoma"/>
          <w:color w:val="000000"/>
          <w:sz w:val="21"/>
          <w:szCs w:val="21"/>
        </w:rPr>
        <w:t xml:space="preserve"> falsos y/o </w:t>
      </w:r>
      <w:r w:rsidRPr="00D147C4">
        <w:rPr>
          <w:rFonts w:ascii="Tahoma" w:hAnsi="Tahoma" w:cs="Tahoma"/>
          <w:color w:val="000000"/>
          <w:sz w:val="21"/>
          <w:szCs w:val="21"/>
        </w:rPr>
        <w:t>inexactos durante</w:t>
      </w:r>
      <w:r w:rsidRPr="00D147C4">
        <w:rPr>
          <w:rFonts w:ascii="Tahoma" w:hAnsi="Tahoma" w:cs="Tahoma"/>
          <w:sz w:val="21"/>
          <w:szCs w:val="21"/>
        </w:rPr>
        <w:t xml:space="preserve"> </w:t>
      </w:r>
      <w:r w:rsidR="00D4697A" w:rsidRPr="00D147C4">
        <w:rPr>
          <w:rFonts w:ascii="Tahoma" w:hAnsi="Tahoma" w:cs="Tahoma"/>
          <w:sz w:val="21"/>
          <w:szCs w:val="21"/>
        </w:rPr>
        <w:t xml:space="preserve">la </w:t>
      </w:r>
      <w:r w:rsidR="00D147C4" w:rsidRPr="00D147C4">
        <w:rPr>
          <w:rFonts w:ascii="Tahoma" w:hAnsi="Tahoma" w:cs="Tahoma"/>
          <w:sz w:val="21"/>
          <w:szCs w:val="21"/>
        </w:rPr>
        <w:t xml:space="preserve">Adjudicación de Menor Cuantía № 0107-2010-SEDAPAL, </w:t>
      </w:r>
      <w:r w:rsidR="00D4697A" w:rsidRPr="00D147C4">
        <w:rPr>
          <w:rFonts w:ascii="Tahoma" w:hAnsi="Tahoma" w:cs="Tahoma"/>
          <w:sz w:val="21"/>
          <w:szCs w:val="21"/>
        </w:rPr>
        <w:t xml:space="preserve">para </w:t>
      </w:r>
      <w:r w:rsidR="00D147C4" w:rsidRPr="00D147C4">
        <w:rPr>
          <w:rFonts w:ascii="Tahoma" w:hAnsi="Tahoma" w:cs="Tahoma"/>
          <w:sz w:val="21"/>
          <w:szCs w:val="21"/>
        </w:rPr>
        <w:t>el “Servicio de Programa Riesgo Oncológico”</w:t>
      </w:r>
      <w:r w:rsidRPr="00D147C4">
        <w:rPr>
          <w:rFonts w:ascii="Tahoma" w:hAnsi="Tahoma" w:cs="Tahoma"/>
          <w:color w:val="000000"/>
          <w:sz w:val="21"/>
          <w:szCs w:val="21"/>
        </w:rPr>
        <w:t>; y, atendiendo a los siguientes:</w:t>
      </w:r>
    </w:p>
    <w:p w:rsidR="00F31A7A" w:rsidRPr="00D147C4" w:rsidRDefault="00F31A7A" w:rsidP="00F31A7A">
      <w:pPr>
        <w:jc w:val="both"/>
        <w:rPr>
          <w:rFonts w:ascii="Tahoma" w:hAnsi="Tahoma" w:cs="Tahoma"/>
          <w:b/>
          <w:shadow/>
          <w:sz w:val="21"/>
          <w:szCs w:val="21"/>
        </w:rPr>
      </w:pPr>
    </w:p>
    <w:p w:rsidR="00F31A7A" w:rsidRPr="00D147C4" w:rsidRDefault="00F31A7A" w:rsidP="00F31A7A">
      <w:pPr>
        <w:jc w:val="both"/>
        <w:rPr>
          <w:rFonts w:ascii="Tahoma" w:hAnsi="Tahoma" w:cs="Tahoma"/>
          <w:b/>
          <w:shadow/>
          <w:sz w:val="21"/>
          <w:szCs w:val="21"/>
        </w:rPr>
      </w:pPr>
      <w:r w:rsidRPr="00D147C4">
        <w:rPr>
          <w:rFonts w:ascii="Tahoma" w:hAnsi="Tahoma" w:cs="Tahoma"/>
          <w:b/>
          <w:shadow/>
          <w:sz w:val="21"/>
          <w:szCs w:val="21"/>
        </w:rPr>
        <w:t>ANTECEDENTES:</w:t>
      </w:r>
    </w:p>
    <w:p w:rsidR="00F31A7A" w:rsidRPr="00D147C4" w:rsidRDefault="00F31A7A" w:rsidP="00F31A7A">
      <w:pPr>
        <w:jc w:val="both"/>
        <w:rPr>
          <w:rFonts w:ascii="Tahoma" w:hAnsi="Tahoma" w:cs="Tahoma"/>
          <w:sz w:val="21"/>
          <w:szCs w:val="21"/>
        </w:rPr>
      </w:pPr>
    </w:p>
    <w:p w:rsidR="00D147C4" w:rsidRPr="00D147C4" w:rsidRDefault="00D147C4" w:rsidP="00D147C4">
      <w:pPr>
        <w:pStyle w:val="Prrafodelista"/>
        <w:numPr>
          <w:ilvl w:val="0"/>
          <w:numId w:val="8"/>
        </w:numPr>
        <w:tabs>
          <w:tab w:val="left" w:pos="-2340"/>
        </w:tabs>
        <w:ind w:left="567" w:hanging="567"/>
        <w:contextualSpacing/>
        <w:jc w:val="both"/>
        <w:rPr>
          <w:rFonts w:ascii="Tahoma" w:hAnsi="Tahoma" w:cs="Tahoma"/>
          <w:i/>
          <w:color w:val="000000"/>
          <w:sz w:val="21"/>
          <w:szCs w:val="21"/>
        </w:rPr>
      </w:pPr>
      <w:r w:rsidRPr="00D147C4">
        <w:rPr>
          <w:rFonts w:ascii="Tahoma" w:hAnsi="Tahoma" w:cs="Tahoma"/>
          <w:color w:val="000000"/>
          <w:sz w:val="21"/>
          <w:szCs w:val="21"/>
        </w:rPr>
        <w:t xml:space="preserve">El 12 de noviembre de 2010, el Servicio de Agua y Alcantarillado de Lima - </w:t>
      </w:r>
      <w:r w:rsidRPr="00D147C4">
        <w:rPr>
          <w:rFonts w:ascii="Tahoma" w:hAnsi="Tahoma" w:cs="Tahoma"/>
          <w:sz w:val="21"/>
          <w:szCs w:val="21"/>
          <w:lang w:val="pt-BR"/>
        </w:rPr>
        <w:t>SEDAPAL</w:t>
      </w:r>
      <w:r w:rsidRPr="00D147C4">
        <w:rPr>
          <w:rFonts w:ascii="Tahoma" w:hAnsi="Tahoma" w:cs="Tahoma"/>
          <w:color w:val="000000"/>
          <w:sz w:val="21"/>
          <w:szCs w:val="21"/>
        </w:rPr>
        <w:t xml:space="preserve">, en lo sucesivo la Entidad, convocó la Adjudicación de Menor Cuantía № </w:t>
      </w:r>
      <w:r w:rsidRPr="00D147C4">
        <w:rPr>
          <w:rFonts w:ascii="Tahoma" w:hAnsi="Tahoma" w:cs="Tahoma"/>
          <w:color w:val="000000"/>
          <w:sz w:val="21"/>
          <w:szCs w:val="21"/>
          <w:lang w:val="es-ES_tradnl"/>
        </w:rPr>
        <w:t>0107-2010-SEDAPAL</w:t>
      </w:r>
      <w:r w:rsidRPr="00D147C4">
        <w:rPr>
          <w:rFonts w:ascii="Tahoma" w:hAnsi="Tahoma" w:cs="Tahoma"/>
          <w:color w:val="000000"/>
          <w:sz w:val="21"/>
          <w:szCs w:val="21"/>
        </w:rPr>
        <w:t xml:space="preserve">, según relación de ítems, para el </w:t>
      </w:r>
      <w:r w:rsidRPr="00D147C4">
        <w:rPr>
          <w:rFonts w:ascii="Tahoma" w:hAnsi="Tahoma" w:cs="Tahoma"/>
          <w:color w:val="000000"/>
          <w:sz w:val="21"/>
          <w:szCs w:val="21"/>
          <w:lang w:val="es-ES_tradnl"/>
        </w:rPr>
        <w:t>“Servicio de Programa Riesgo Oncológico”</w:t>
      </w:r>
      <w:r w:rsidRPr="00D147C4">
        <w:rPr>
          <w:rFonts w:ascii="Tahoma" w:hAnsi="Tahoma" w:cs="Tahoma"/>
          <w:color w:val="000000"/>
          <w:sz w:val="21"/>
          <w:szCs w:val="21"/>
        </w:rPr>
        <w:t>, bajo el sistema de precios unitarios, con un valor referencial ascendente a S/. 103 680,00 (Ciento tres mil seiscientos ochenta y 00/100 nuevos soles), incluidos los impuestos de ley.</w:t>
      </w:r>
    </w:p>
    <w:p w:rsidR="00D147C4" w:rsidRPr="00D147C4" w:rsidRDefault="00D147C4" w:rsidP="00D147C4">
      <w:pPr>
        <w:pStyle w:val="Prrafodelista"/>
        <w:tabs>
          <w:tab w:val="left" w:pos="-2340"/>
        </w:tabs>
        <w:ind w:left="567"/>
        <w:jc w:val="both"/>
        <w:rPr>
          <w:rFonts w:ascii="Tahoma" w:hAnsi="Tahoma" w:cs="Tahoma"/>
          <w:i/>
          <w:color w:val="000000"/>
          <w:sz w:val="21"/>
          <w:szCs w:val="21"/>
        </w:rPr>
      </w:pPr>
    </w:p>
    <w:p w:rsidR="00D147C4" w:rsidRPr="00D147C4" w:rsidRDefault="00D147C4" w:rsidP="00D147C4">
      <w:pPr>
        <w:pStyle w:val="Prrafodelista"/>
        <w:numPr>
          <w:ilvl w:val="0"/>
          <w:numId w:val="8"/>
        </w:numPr>
        <w:tabs>
          <w:tab w:val="left" w:pos="-2340"/>
        </w:tabs>
        <w:ind w:left="567" w:hanging="567"/>
        <w:contextualSpacing/>
        <w:jc w:val="both"/>
        <w:rPr>
          <w:rFonts w:ascii="Tahoma" w:hAnsi="Tahoma" w:cs="Tahoma"/>
          <w:i/>
          <w:color w:val="000000"/>
          <w:sz w:val="21"/>
          <w:szCs w:val="21"/>
        </w:rPr>
      </w:pPr>
      <w:r w:rsidRPr="00D147C4">
        <w:rPr>
          <w:rFonts w:ascii="Tahoma" w:hAnsi="Tahoma" w:cs="Tahoma"/>
          <w:sz w:val="21"/>
          <w:szCs w:val="21"/>
        </w:rPr>
        <w:t>El 23 de noviembre de 2010, se llevó a cabo el acto privado de presentación de propuestas, en la cual, presentó su sobre respectivo, entre otros, la señora ROSA ELIZABETH MENDEZ CASTILLO DE QUITO.</w:t>
      </w:r>
    </w:p>
    <w:p w:rsidR="00D147C4" w:rsidRPr="00D147C4" w:rsidRDefault="00D147C4" w:rsidP="00D147C4">
      <w:pPr>
        <w:pStyle w:val="Textoindependiente"/>
        <w:tabs>
          <w:tab w:val="left" w:pos="-2340"/>
        </w:tabs>
        <w:ind w:left="567"/>
        <w:rPr>
          <w:rFonts w:cs="Tahoma"/>
          <w:sz w:val="21"/>
          <w:szCs w:val="21"/>
        </w:rPr>
      </w:pPr>
    </w:p>
    <w:p w:rsidR="00D147C4" w:rsidRPr="00D147C4" w:rsidRDefault="00D147C4" w:rsidP="00D147C4">
      <w:pPr>
        <w:pStyle w:val="Textoindependiente"/>
        <w:numPr>
          <w:ilvl w:val="0"/>
          <w:numId w:val="8"/>
        </w:numPr>
        <w:tabs>
          <w:tab w:val="left" w:pos="-2340"/>
        </w:tabs>
        <w:ind w:left="567" w:hanging="567"/>
        <w:rPr>
          <w:rFonts w:cs="Tahoma"/>
          <w:sz w:val="21"/>
          <w:szCs w:val="21"/>
        </w:rPr>
      </w:pPr>
      <w:r w:rsidRPr="00D147C4">
        <w:rPr>
          <w:rFonts w:cs="Tahoma"/>
          <w:sz w:val="21"/>
          <w:szCs w:val="21"/>
        </w:rPr>
        <w:t>El 26 de noviembre de 2010, luego de evaluarse las propuestas presentadas, se otorgó la Buena Pro de los ítems № 1(Programa de riesgo oncológico masculino) y № 2 (Programa de riesgo oncológico femenino) a la señora ROSA ELIZABETH MENDEZ CASTILLO DE QUITO, en lo sucesivo el Postor, por su oferta económica de S/. 89 388.00, incluido los impuestos de ley.</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8"/>
        </w:numPr>
        <w:tabs>
          <w:tab w:val="left" w:pos="4320"/>
        </w:tabs>
        <w:ind w:left="567" w:hanging="567"/>
        <w:contextualSpacing/>
        <w:jc w:val="both"/>
        <w:rPr>
          <w:rFonts w:ascii="Tahoma" w:hAnsi="Tahoma" w:cs="Tahoma"/>
          <w:sz w:val="21"/>
          <w:szCs w:val="21"/>
        </w:rPr>
      </w:pPr>
      <w:r w:rsidRPr="00D147C4">
        <w:rPr>
          <w:rFonts w:ascii="Tahoma" w:hAnsi="Tahoma" w:cs="Tahoma"/>
          <w:sz w:val="21"/>
          <w:szCs w:val="21"/>
        </w:rPr>
        <w:t xml:space="preserve">Con escrito presentado el 03 de febrero de 2011, la Entidad puso en conocimiento del Tribunal de Contrataciones del Estado, en adelante el Tribunal, que el Postor habría presentado como parte de su propuesta técnica, supuesta documentación falsa y/o inexacta durante la </w:t>
      </w:r>
      <w:r w:rsidRPr="00D147C4">
        <w:rPr>
          <w:rFonts w:ascii="Tahoma" w:hAnsi="Tahoma" w:cs="Tahoma"/>
          <w:color w:val="000000"/>
          <w:sz w:val="21"/>
          <w:szCs w:val="21"/>
        </w:rPr>
        <w:t xml:space="preserve">Adjudicación de Menor Cuantía № </w:t>
      </w:r>
      <w:r w:rsidRPr="00D147C4">
        <w:rPr>
          <w:rFonts w:ascii="Tahoma" w:hAnsi="Tahoma" w:cs="Tahoma"/>
          <w:color w:val="000000"/>
          <w:sz w:val="21"/>
          <w:szCs w:val="21"/>
          <w:lang w:val="es-ES_tradnl"/>
        </w:rPr>
        <w:t>0107-2010-SEDAPAL</w:t>
      </w:r>
      <w:r w:rsidRPr="00D147C4">
        <w:rPr>
          <w:rFonts w:ascii="Tahoma" w:hAnsi="Tahoma" w:cs="Tahoma"/>
          <w:sz w:val="21"/>
          <w:szCs w:val="21"/>
        </w:rPr>
        <w:t>.</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Textoindependiente"/>
        <w:tabs>
          <w:tab w:val="left" w:pos="-2340"/>
        </w:tabs>
        <w:ind w:left="567"/>
        <w:rPr>
          <w:rFonts w:cs="Tahoma"/>
          <w:sz w:val="21"/>
          <w:szCs w:val="21"/>
          <w:lang w:eastAsia="en-US"/>
        </w:rPr>
      </w:pPr>
      <w:r w:rsidRPr="00D147C4">
        <w:rPr>
          <w:rFonts w:cs="Tahoma"/>
          <w:sz w:val="21"/>
          <w:szCs w:val="21"/>
          <w:lang w:eastAsia="en-US"/>
        </w:rPr>
        <w:t xml:space="preserve">Para tal efecto, la Entidad adjuntó el Informe № 001-2011-ESGE, mediante el cual manifestó que con motivo de la Fiscalización Posterior realizada a la documentación </w:t>
      </w:r>
      <w:r w:rsidRPr="00D147C4">
        <w:rPr>
          <w:rFonts w:cs="Tahoma"/>
          <w:sz w:val="21"/>
          <w:szCs w:val="21"/>
          <w:lang w:eastAsia="en-US"/>
        </w:rPr>
        <w:lastRenderedPageBreak/>
        <w:t xml:space="preserve">presentada por el Postor, se verificó que éste no había presentado documento contable válido (factura o boleta) que acredite fehacientemente haber prestado los servicios contenidos en los Contratos de Prestación de Servicios Médicos. En ese sentido, la Entidad concluyó que el Postor habría presentado documentación falsa y/o inexacta consistente en los siguientes documentos: </w:t>
      </w:r>
      <w:r w:rsidRPr="00D147C4">
        <w:rPr>
          <w:rFonts w:cs="Tahoma"/>
          <w:b/>
          <w:sz w:val="21"/>
          <w:szCs w:val="21"/>
          <w:lang w:eastAsia="en-US"/>
        </w:rPr>
        <w:t>(i)</w:t>
      </w:r>
      <w:r w:rsidRPr="00D147C4">
        <w:rPr>
          <w:rFonts w:cs="Tahoma"/>
          <w:sz w:val="21"/>
          <w:szCs w:val="21"/>
          <w:lang w:eastAsia="en-US"/>
        </w:rPr>
        <w:t xml:space="preserve"> Contrato de Prestación de Servicios Médicos con su respectiva Carta de Conformidad de fechas 17 de febrero de 2007 y 25 de febrero de 2008, respectivamente, emitidos por el Centro de Diagnostico San Isidro S.A.C.; </w:t>
      </w:r>
      <w:r w:rsidRPr="00D147C4">
        <w:rPr>
          <w:rFonts w:cs="Tahoma"/>
          <w:b/>
          <w:sz w:val="21"/>
          <w:szCs w:val="21"/>
          <w:lang w:eastAsia="en-US"/>
        </w:rPr>
        <w:t xml:space="preserve">(ii) </w:t>
      </w:r>
      <w:r w:rsidRPr="00D147C4">
        <w:rPr>
          <w:rFonts w:cs="Tahoma"/>
          <w:sz w:val="21"/>
          <w:szCs w:val="21"/>
          <w:lang w:eastAsia="en-US"/>
        </w:rPr>
        <w:t xml:space="preserve">Contrato de Prestación de Servicios Médicos con su respectiva Carta de Conformidad de fechas 02 de enero de 2005 y 05 de febrero de 2006, respectivamente, emitidos por la empresa Diagnostic Medical Center S.A.C.; </w:t>
      </w:r>
      <w:r w:rsidRPr="00D147C4">
        <w:rPr>
          <w:rFonts w:cs="Tahoma"/>
          <w:b/>
          <w:sz w:val="21"/>
          <w:szCs w:val="21"/>
          <w:lang w:eastAsia="en-US"/>
        </w:rPr>
        <w:t xml:space="preserve">(iii) </w:t>
      </w:r>
      <w:r w:rsidRPr="00D147C4">
        <w:rPr>
          <w:rFonts w:cs="Tahoma"/>
          <w:sz w:val="21"/>
          <w:szCs w:val="21"/>
          <w:lang w:eastAsia="en-US"/>
        </w:rPr>
        <w:t>Contrato de Prestación de Servicios Médicos con su respectiva Carta de Conformidad de fechas 08 de enero de 2008 y 22 de enero de 2009, respectivamente, emitidos por el Centro Médico Breña de Hernán Laureano Huamán del Valle;</w:t>
      </w:r>
      <w:r w:rsidRPr="00D147C4">
        <w:rPr>
          <w:rFonts w:cs="Tahoma"/>
          <w:b/>
          <w:sz w:val="21"/>
          <w:szCs w:val="21"/>
          <w:lang w:eastAsia="en-US"/>
        </w:rPr>
        <w:t xml:space="preserve"> (iv)</w:t>
      </w:r>
      <w:r w:rsidRPr="00D147C4">
        <w:rPr>
          <w:rFonts w:cs="Tahoma"/>
          <w:sz w:val="21"/>
          <w:szCs w:val="21"/>
          <w:lang w:eastAsia="en-US"/>
        </w:rPr>
        <w:t xml:space="preserve"> Contrato de Prestación de Servicios Médicos con su respectiva Carta de Conformidad de fechas 04 de enero de 2006 y 30 de enero de 2007, respectivamente, emitidos por el Centro Médico Breña de Hernán Laureano Huamán del Valle; </w:t>
      </w:r>
      <w:r w:rsidRPr="00D147C4">
        <w:rPr>
          <w:rFonts w:cs="Tahoma"/>
          <w:b/>
          <w:sz w:val="21"/>
          <w:szCs w:val="21"/>
          <w:lang w:eastAsia="en-US"/>
        </w:rPr>
        <w:t>(v)</w:t>
      </w:r>
      <w:r w:rsidRPr="00D147C4">
        <w:rPr>
          <w:rFonts w:cs="Tahoma"/>
          <w:sz w:val="21"/>
          <w:szCs w:val="21"/>
          <w:lang w:eastAsia="en-US"/>
        </w:rPr>
        <w:t xml:space="preserve"> Contrato de Prestación de Servicios Médicos con su respectiva Carta de Conformidad de fechas 09 de enero de 2009 y 16 de abril de 2010, respectivamente, emitidos por el Centro Médico Breña de Hernán Laureano Huamán del Valle.</w:t>
      </w:r>
    </w:p>
    <w:p w:rsidR="00D147C4" w:rsidRPr="00D147C4" w:rsidRDefault="00D147C4" w:rsidP="00D147C4">
      <w:pPr>
        <w:pStyle w:val="Prrafodelista"/>
        <w:tabs>
          <w:tab w:val="left" w:pos="4320"/>
        </w:tabs>
        <w:ind w:left="567"/>
        <w:jc w:val="both"/>
        <w:rPr>
          <w:rFonts w:ascii="Tahoma" w:hAnsi="Tahoma" w:cs="Tahoma"/>
          <w:sz w:val="21"/>
          <w:szCs w:val="21"/>
        </w:rPr>
      </w:pPr>
    </w:p>
    <w:p w:rsidR="00D147C4" w:rsidRPr="00D147C4" w:rsidRDefault="00D147C4" w:rsidP="00D147C4">
      <w:pPr>
        <w:pStyle w:val="Textoindependiente"/>
        <w:numPr>
          <w:ilvl w:val="0"/>
          <w:numId w:val="8"/>
        </w:numPr>
        <w:tabs>
          <w:tab w:val="left" w:pos="-2340"/>
        </w:tabs>
        <w:ind w:left="567" w:hanging="567"/>
        <w:rPr>
          <w:rFonts w:cs="Tahoma"/>
          <w:sz w:val="21"/>
          <w:szCs w:val="21"/>
        </w:rPr>
      </w:pPr>
      <w:r w:rsidRPr="00D147C4">
        <w:rPr>
          <w:rFonts w:cs="Tahoma"/>
          <w:sz w:val="21"/>
          <w:szCs w:val="21"/>
        </w:rPr>
        <w:t>Mediante decreto de fecha 17 de febrero de 2011, notificado el 04 de marzo del mismo año, el Tribunal inició procedimiento administrativo sancionador contra el Postor por haber presentado los Contrato de Prestación de Servicios Médicos de fechas 17 de febrero de 2007, 02 de enero de 2005, 08 de enero de 2008, 04 de enero de 2006 y 09 de enero de 2009, con sus respectivas Cartas de Conformidad</w:t>
      </w:r>
      <w:r w:rsidRPr="00D147C4">
        <w:rPr>
          <w:rFonts w:cs="Tahoma"/>
          <w:sz w:val="21"/>
          <w:szCs w:val="21"/>
          <w:lang w:val="es-ES"/>
        </w:rPr>
        <w:t xml:space="preserve"> de fechas 25 de febrero de 2008, 05 de febrero de 2006, 22 de enero de 2009, 30 de enero de 2007 y 16 de abril de 2010</w:t>
      </w:r>
      <w:r w:rsidRPr="00D147C4">
        <w:rPr>
          <w:rFonts w:cs="Tahoma"/>
          <w:sz w:val="21"/>
          <w:szCs w:val="21"/>
        </w:rPr>
        <w:t>, respectivamente, documentos supuestamente falsos y/o inexactos, infracción tipificada en el literal i) del numeral 1 del artículo 237 del Reglamento de la Ley de Contrataciones del Estado. Asimismo, le otorgó el plazo de diez (10) días para que presentara sus descargos.</w:t>
      </w:r>
    </w:p>
    <w:p w:rsidR="00D147C4" w:rsidRPr="00D147C4" w:rsidRDefault="00D147C4" w:rsidP="00D147C4">
      <w:pPr>
        <w:pStyle w:val="Textoindependiente"/>
        <w:tabs>
          <w:tab w:val="left" w:pos="-2340"/>
        </w:tabs>
        <w:ind w:left="567"/>
        <w:rPr>
          <w:rFonts w:cs="Tahoma"/>
          <w:sz w:val="21"/>
          <w:szCs w:val="21"/>
        </w:rPr>
      </w:pPr>
    </w:p>
    <w:p w:rsidR="00D147C4" w:rsidRPr="00D147C4" w:rsidRDefault="00D147C4" w:rsidP="00D147C4">
      <w:pPr>
        <w:pStyle w:val="Textoindependiente"/>
        <w:numPr>
          <w:ilvl w:val="0"/>
          <w:numId w:val="8"/>
        </w:numPr>
        <w:tabs>
          <w:tab w:val="left" w:pos="-2340"/>
        </w:tabs>
        <w:ind w:left="567" w:hanging="567"/>
        <w:rPr>
          <w:rFonts w:cs="Tahoma"/>
          <w:sz w:val="21"/>
          <w:szCs w:val="21"/>
        </w:rPr>
      </w:pPr>
      <w:r w:rsidRPr="00D147C4">
        <w:rPr>
          <w:rFonts w:cs="Tahoma"/>
          <w:sz w:val="21"/>
          <w:szCs w:val="21"/>
        </w:rPr>
        <w:t>Con escrito presentado el 15 de marzo de 2011 y subsanado el 17 del mismo mes y año, el Postor presentó su escrito de descargos bajo los siguientes términos:</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Textoindependiente"/>
        <w:numPr>
          <w:ilvl w:val="0"/>
          <w:numId w:val="25"/>
        </w:numPr>
        <w:tabs>
          <w:tab w:val="left" w:pos="-2340"/>
        </w:tabs>
        <w:rPr>
          <w:rFonts w:cs="Tahoma"/>
          <w:sz w:val="21"/>
          <w:szCs w:val="21"/>
        </w:rPr>
      </w:pPr>
      <w:r w:rsidRPr="00D147C4">
        <w:rPr>
          <w:rFonts w:cs="Tahoma"/>
          <w:sz w:val="21"/>
          <w:szCs w:val="21"/>
        </w:rPr>
        <w:t>Que, con los Registros de Ventas y PDT de los periodos del 2005 al 2009, mi representada presta desde hace varios años los servicios materia del proceso de selección en montos superiores a los requeridos en el presente proceso. (sic)</w:t>
      </w:r>
    </w:p>
    <w:p w:rsidR="00D147C4" w:rsidRPr="00D147C4" w:rsidRDefault="00D147C4" w:rsidP="00D147C4">
      <w:pPr>
        <w:pStyle w:val="Textoindependiente"/>
        <w:tabs>
          <w:tab w:val="left" w:pos="-2340"/>
        </w:tabs>
        <w:ind w:left="1287"/>
        <w:rPr>
          <w:rFonts w:cs="Tahoma"/>
          <w:sz w:val="21"/>
          <w:szCs w:val="21"/>
        </w:rPr>
      </w:pPr>
    </w:p>
    <w:p w:rsidR="00D147C4" w:rsidRPr="00D147C4" w:rsidRDefault="00D147C4" w:rsidP="00D147C4">
      <w:pPr>
        <w:pStyle w:val="Textoindependiente"/>
        <w:numPr>
          <w:ilvl w:val="0"/>
          <w:numId w:val="25"/>
        </w:numPr>
        <w:tabs>
          <w:tab w:val="left" w:pos="-2340"/>
        </w:tabs>
        <w:rPr>
          <w:rFonts w:cs="Tahoma"/>
          <w:sz w:val="21"/>
          <w:szCs w:val="21"/>
        </w:rPr>
      </w:pPr>
      <w:r w:rsidRPr="00D147C4">
        <w:rPr>
          <w:rFonts w:cs="Tahoma"/>
          <w:sz w:val="21"/>
          <w:szCs w:val="21"/>
        </w:rPr>
        <w:t>Que, por desconocimiento no se generaron las facturas entre mi representada y los comitentes (con los cuales suscribimos contrato), sin embargo, los servicios prestados con éstos fueron reales, siendo que la prueba de ello es que están consignados en los Registros de Ventas y PDT de los periodos 2005 al 2009. (sic)</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Textoindependiente"/>
        <w:numPr>
          <w:ilvl w:val="0"/>
          <w:numId w:val="25"/>
        </w:numPr>
        <w:tabs>
          <w:tab w:val="left" w:pos="-2340"/>
        </w:tabs>
        <w:rPr>
          <w:rFonts w:cs="Tahoma"/>
          <w:sz w:val="21"/>
          <w:szCs w:val="21"/>
        </w:rPr>
      </w:pPr>
      <w:r w:rsidRPr="00D147C4">
        <w:rPr>
          <w:rFonts w:cs="Tahoma"/>
          <w:sz w:val="21"/>
          <w:szCs w:val="21"/>
          <w:lang w:val="es-ES"/>
        </w:rPr>
        <w:lastRenderedPageBreak/>
        <w:t xml:space="preserve">Por ello, mi representada no presentó documentación falsa ni inexacta, toda vez que los contratos de prestación de servicios presentados en el presente proceso de selección son verdaderos, razón por la cual, solicitó a este Colegiado que declare no ha lugar a la imposición de sanción contra mi representada. </w:t>
      </w:r>
      <w:r w:rsidRPr="00D147C4">
        <w:rPr>
          <w:rFonts w:cs="Tahoma"/>
          <w:sz w:val="21"/>
          <w:szCs w:val="21"/>
        </w:rPr>
        <w:t>(sic)</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Textoindependiente"/>
        <w:numPr>
          <w:ilvl w:val="0"/>
          <w:numId w:val="8"/>
        </w:numPr>
        <w:tabs>
          <w:tab w:val="left" w:pos="-2340"/>
        </w:tabs>
        <w:ind w:left="567" w:hanging="567"/>
        <w:rPr>
          <w:rFonts w:cs="Tahoma"/>
          <w:sz w:val="21"/>
          <w:szCs w:val="21"/>
        </w:rPr>
      </w:pPr>
      <w:r w:rsidRPr="00D147C4">
        <w:rPr>
          <w:rFonts w:cs="Tahoma"/>
          <w:sz w:val="21"/>
          <w:szCs w:val="21"/>
        </w:rPr>
        <w:t>Con decreto de fecha 22 de marzo de 2011, se tuvo por apersonado al Postor a la instancia administrativa, y se remitió el expediente a la Primera Sala del Tribunal para que resolviera.</w:t>
      </w:r>
    </w:p>
    <w:p w:rsidR="00D147C4" w:rsidRPr="00D147C4" w:rsidRDefault="00D147C4" w:rsidP="00D147C4">
      <w:pPr>
        <w:pStyle w:val="Textoindependiente"/>
        <w:tabs>
          <w:tab w:val="left" w:pos="-2340"/>
        </w:tabs>
        <w:ind w:left="567"/>
        <w:rPr>
          <w:rFonts w:cs="Tahoma"/>
          <w:sz w:val="21"/>
          <w:szCs w:val="21"/>
        </w:rPr>
      </w:pPr>
    </w:p>
    <w:p w:rsidR="00D147C4" w:rsidRPr="00D147C4" w:rsidRDefault="00D147C4" w:rsidP="00D147C4">
      <w:pPr>
        <w:pStyle w:val="Textoindependiente"/>
        <w:numPr>
          <w:ilvl w:val="0"/>
          <w:numId w:val="8"/>
        </w:numPr>
        <w:tabs>
          <w:tab w:val="left" w:pos="-2340"/>
        </w:tabs>
        <w:ind w:left="567" w:hanging="567"/>
        <w:rPr>
          <w:rFonts w:cs="Tahoma"/>
          <w:sz w:val="21"/>
          <w:szCs w:val="21"/>
        </w:rPr>
      </w:pPr>
      <w:r w:rsidRPr="00D147C4">
        <w:rPr>
          <w:rFonts w:cs="Tahoma"/>
          <w:sz w:val="21"/>
          <w:szCs w:val="21"/>
        </w:rPr>
        <w:t xml:space="preserve">Mediante decreto de fecha 04 de abril de 2011, el Tribunal requirió al </w:t>
      </w:r>
      <w:r w:rsidRPr="00D147C4">
        <w:rPr>
          <w:rFonts w:cs="Tahoma"/>
          <w:sz w:val="21"/>
          <w:szCs w:val="21"/>
          <w:lang w:eastAsia="en-US"/>
        </w:rPr>
        <w:t xml:space="preserve">Centro de Diagnostico San Isidro S.A.C., Diagnostic Medical Center S.A.C. y Centro Médico Breña de Hernán Laureano Huamán del Valle </w:t>
      </w:r>
      <w:r w:rsidRPr="00D147C4">
        <w:rPr>
          <w:rFonts w:cs="Tahoma"/>
          <w:sz w:val="21"/>
          <w:szCs w:val="21"/>
        </w:rPr>
        <w:t xml:space="preserve">que informasen y den su conformidad al contenido de los siguientes documentos: </w:t>
      </w:r>
      <w:r w:rsidRPr="00D147C4">
        <w:rPr>
          <w:rFonts w:cs="Tahoma"/>
          <w:b/>
          <w:sz w:val="21"/>
          <w:szCs w:val="21"/>
          <w:lang w:eastAsia="en-US"/>
        </w:rPr>
        <w:t>(i)</w:t>
      </w:r>
      <w:r w:rsidRPr="00D147C4">
        <w:rPr>
          <w:rFonts w:cs="Tahoma"/>
          <w:sz w:val="21"/>
          <w:szCs w:val="21"/>
          <w:lang w:eastAsia="en-US"/>
        </w:rPr>
        <w:t xml:space="preserve"> Contrato de Prestación de Servicios Médicos con su respectiva Carta de Conformidad de fechas 17 de febrero de 2007 y 25 de febrero de 2008, respectivamente; </w:t>
      </w:r>
      <w:r w:rsidRPr="00D147C4">
        <w:rPr>
          <w:rFonts w:cs="Tahoma"/>
          <w:b/>
          <w:sz w:val="21"/>
          <w:szCs w:val="21"/>
          <w:lang w:eastAsia="en-US"/>
        </w:rPr>
        <w:t xml:space="preserve">(ii) </w:t>
      </w:r>
      <w:r w:rsidRPr="00D147C4">
        <w:rPr>
          <w:rFonts w:cs="Tahoma"/>
          <w:sz w:val="21"/>
          <w:szCs w:val="21"/>
          <w:lang w:eastAsia="en-US"/>
        </w:rPr>
        <w:t xml:space="preserve">Contrato de Prestación de Servicios Médicos con su respectiva Carta de Conformidad de fechas 02 de enero de 2005 y 05 de febrero de 2006, respectivamente; </w:t>
      </w:r>
      <w:r w:rsidRPr="00D147C4">
        <w:rPr>
          <w:rFonts w:cs="Tahoma"/>
          <w:b/>
          <w:sz w:val="21"/>
          <w:szCs w:val="21"/>
          <w:lang w:eastAsia="en-US"/>
        </w:rPr>
        <w:t xml:space="preserve">(iii) </w:t>
      </w:r>
      <w:r w:rsidRPr="00D147C4">
        <w:rPr>
          <w:rFonts w:cs="Tahoma"/>
          <w:sz w:val="21"/>
          <w:szCs w:val="21"/>
          <w:lang w:eastAsia="en-US"/>
        </w:rPr>
        <w:t>Contrato de Prestación de Servicios Médicos con su respectiva Carta de Conformidad de fechas 08 de enero de 2008 y 22 de enero de 2009, respectivamente;</w:t>
      </w:r>
      <w:r w:rsidRPr="00D147C4">
        <w:rPr>
          <w:rFonts w:cs="Tahoma"/>
          <w:b/>
          <w:sz w:val="21"/>
          <w:szCs w:val="21"/>
          <w:lang w:eastAsia="en-US"/>
        </w:rPr>
        <w:t xml:space="preserve"> (iv)</w:t>
      </w:r>
      <w:r w:rsidRPr="00D147C4">
        <w:rPr>
          <w:rFonts w:cs="Tahoma"/>
          <w:sz w:val="21"/>
          <w:szCs w:val="21"/>
          <w:lang w:eastAsia="en-US"/>
        </w:rPr>
        <w:t xml:space="preserve"> Contrato de Prestación de Servicios Médicos con su respectiva Carta de Conformidad de fechas 04 de enero de 2006 y 30 de enero de 2007, respectivamente; </w:t>
      </w:r>
      <w:r w:rsidRPr="00D147C4">
        <w:rPr>
          <w:rFonts w:cs="Tahoma"/>
          <w:b/>
          <w:sz w:val="21"/>
          <w:szCs w:val="21"/>
          <w:lang w:eastAsia="en-US"/>
        </w:rPr>
        <w:t>(v)</w:t>
      </w:r>
      <w:r w:rsidRPr="00D147C4">
        <w:rPr>
          <w:rFonts w:cs="Tahoma"/>
          <w:sz w:val="21"/>
          <w:szCs w:val="21"/>
          <w:lang w:eastAsia="en-US"/>
        </w:rPr>
        <w:t xml:space="preserve"> Contrato de Prestación de Servicios Médicos con su respectiva Carta de Conformidad de fechas 09 de enero de 2009 y 16 de abril de 2010, respectivamente.</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8"/>
        </w:numPr>
        <w:ind w:left="567" w:hanging="567"/>
        <w:contextualSpacing/>
        <w:jc w:val="both"/>
        <w:rPr>
          <w:rFonts w:ascii="Tahoma" w:hAnsi="Tahoma" w:cs="Tahoma"/>
          <w:sz w:val="21"/>
          <w:szCs w:val="21"/>
        </w:rPr>
      </w:pPr>
      <w:r w:rsidRPr="00D147C4">
        <w:rPr>
          <w:rFonts w:ascii="Tahoma" w:hAnsi="Tahoma" w:cs="Tahoma"/>
          <w:sz w:val="21"/>
          <w:szCs w:val="21"/>
        </w:rPr>
        <w:t>Mediante decreto de fecha 15 de abril de 2011,  el Tribunal reiteró a la empresa Centro de Diagnostico San Isidro S.A.C. y al Centro Médico Breña de Hernán Laureano Huamán del Valle para que cumplieran con remitir la información y documentación requerida mediante decreto de fecha 04 de abril de 2011.</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8"/>
        </w:numPr>
        <w:ind w:left="567" w:hanging="567"/>
        <w:contextualSpacing/>
        <w:jc w:val="both"/>
        <w:rPr>
          <w:rFonts w:ascii="Tahoma" w:hAnsi="Tahoma" w:cs="Tahoma"/>
          <w:sz w:val="21"/>
          <w:szCs w:val="21"/>
        </w:rPr>
      </w:pPr>
      <w:r w:rsidRPr="00D147C4">
        <w:rPr>
          <w:rFonts w:ascii="Tahoma" w:hAnsi="Tahoma" w:cs="Tahoma"/>
          <w:sz w:val="21"/>
          <w:szCs w:val="21"/>
        </w:rPr>
        <w:t xml:space="preserve">Con decreto de fecha 27 de abril de 2011, previa razón de Secretaría, se sobrecartó el Oficio № 574-2011/STRI-LRA al domicilio sitio en Mz. A, Lt. 19-20, Carretera Central, Distrito de Ate Vitarte, a fin que la empresa </w:t>
      </w:r>
      <w:r w:rsidRPr="00D147C4">
        <w:rPr>
          <w:rFonts w:ascii="Tahoma" w:hAnsi="Tahoma" w:cs="Tahoma"/>
          <w:sz w:val="21"/>
          <w:szCs w:val="21"/>
          <w:lang w:eastAsia="en-US"/>
        </w:rPr>
        <w:t xml:space="preserve">Diagnostic Medical Center S.A.C. </w:t>
      </w:r>
      <w:r w:rsidRPr="00D147C4">
        <w:rPr>
          <w:rFonts w:ascii="Tahoma" w:hAnsi="Tahoma" w:cs="Tahoma"/>
          <w:sz w:val="21"/>
          <w:szCs w:val="21"/>
        </w:rPr>
        <w:t>cumpla con presentar la información solicitada mediante decreto de fecha 04 de abril de 2011.</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8"/>
        </w:numPr>
        <w:ind w:left="567" w:hanging="567"/>
        <w:contextualSpacing/>
        <w:jc w:val="both"/>
        <w:rPr>
          <w:rFonts w:ascii="Tahoma" w:hAnsi="Tahoma" w:cs="Tahoma"/>
          <w:sz w:val="21"/>
          <w:szCs w:val="21"/>
        </w:rPr>
      </w:pPr>
      <w:r w:rsidRPr="00D147C4">
        <w:rPr>
          <w:rFonts w:ascii="Tahoma" w:hAnsi="Tahoma" w:cs="Tahoma"/>
          <w:sz w:val="21"/>
          <w:szCs w:val="21"/>
        </w:rPr>
        <w:t xml:space="preserve">No habiendo cumplido la empresa Centro de Diagnostico San Isidro S.A.C. y al Centro Médico Breña de Hernán Laureano Huamán del Valle con remitir la información solicitada por el Tribunal, mediante decreto de fecha 28 de abril de 2011, se hizo efectivo el apercibimiento de resolver con la documentación obrante en autos. </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8"/>
        </w:numPr>
        <w:ind w:left="567" w:hanging="567"/>
        <w:contextualSpacing/>
        <w:jc w:val="both"/>
        <w:rPr>
          <w:rFonts w:ascii="Tahoma" w:hAnsi="Tahoma" w:cs="Tahoma"/>
          <w:sz w:val="21"/>
          <w:szCs w:val="21"/>
        </w:rPr>
      </w:pPr>
      <w:r w:rsidRPr="00D147C4">
        <w:rPr>
          <w:rFonts w:ascii="Tahoma" w:hAnsi="Tahoma" w:cs="Tahoma"/>
          <w:sz w:val="21"/>
          <w:szCs w:val="21"/>
        </w:rPr>
        <w:t xml:space="preserve">A través del decreto de fecha 18 de mayo de 2011, no habiendo cumplido la Diagnostic Medical Center S.A.C. con remitir la información solicitada, pese haber </w:t>
      </w:r>
      <w:r w:rsidRPr="00D147C4">
        <w:rPr>
          <w:rFonts w:ascii="Tahoma" w:hAnsi="Tahoma" w:cs="Tahoma"/>
          <w:sz w:val="21"/>
          <w:szCs w:val="21"/>
        </w:rPr>
        <w:lastRenderedPageBreak/>
        <w:t xml:space="preserve">sido debidamente notificada, se hizo efectivo el apercibimiento de resolver con la documentación obrante en autos. </w:t>
      </w:r>
    </w:p>
    <w:p w:rsidR="00F31A7A" w:rsidRPr="00D147C4" w:rsidRDefault="00F31A7A" w:rsidP="00F31A7A">
      <w:pPr>
        <w:jc w:val="both"/>
        <w:rPr>
          <w:rFonts w:ascii="Tahoma" w:hAnsi="Tahoma" w:cs="Tahoma"/>
          <w:sz w:val="21"/>
          <w:szCs w:val="21"/>
        </w:rPr>
      </w:pPr>
    </w:p>
    <w:p w:rsidR="00F31A7A" w:rsidRPr="00D147C4" w:rsidRDefault="00F31A7A" w:rsidP="00F31A7A">
      <w:pPr>
        <w:pStyle w:val="Textoindependiente"/>
        <w:tabs>
          <w:tab w:val="left" w:pos="-2340"/>
          <w:tab w:val="left" w:pos="567"/>
        </w:tabs>
        <w:ind w:left="567" w:hanging="567"/>
        <w:rPr>
          <w:rFonts w:cs="Tahoma"/>
          <w:b/>
          <w:shadow/>
          <w:sz w:val="21"/>
          <w:szCs w:val="21"/>
        </w:rPr>
      </w:pPr>
      <w:r w:rsidRPr="00D147C4">
        <w:rPr>
          <w:rFonts w:cs="Tahoma"/>
          <w:b/>
          <w:shadow/>
          <w:sz w:val="21"/>
          <w:szCs w:val="21"/>
        </w:rPr>
        <w:t>FUNDAMENTACIÓN:</w:t>
      </w:r>
      <w:r w:rsidRPr="00D147C4">
        <w:rPr>
          <w:rFonts w:cs="Tahoma"/>
          <w:b/>
          <w:shadow/>
          <w:sz w:val="21"/>
          <w:szCs w:val="21"/>
        </w:rPr>
        <w:tab/>
      </w:r>
    </w:p>
    <w:p w:rsidR="00F31A7A" w:rsidRPr="00D147C4" w:rsidRDefault="00F31A7A" w:rsidP="00F31A7A">
      <w:pPr>
        <w:rPr>
          <w:rFonts w:ascii="Tahoma" w:hAnsi="Tahoma" w:cs="Tahoma"/>
          <w:sz w:val="21"/>
          <w:szCs w:val="21"/>
        </w:rPr>
      </w:pPr>
      <w:r w:rsidRPr="00D147C4">
        <w:rPr>
          <w:rFonts w:ascii="Tahoma" w:hAnsi="Tahoma" w:cs="Tahoma"/>
          <w:sz w:val="21"/>
          <w:szCs w:val="21"/>
        </w:rPr>
        <w:t xml:space="preserve"> </w:t>
      </w: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D147C4" w:rsidRPr="00D147C4" w:rsidRDefault="00D147C4" w:rsidP="00D147C4">
      <w:pPr>
        <w:pStyle w:val="Prrafodelista"/>
        <w:tabs>
          <w:tab w:val="num" w:pos="567"/>
        </w:tabs>
        <w:ind w:left="567" w:hanging="567"/>
        <w:jc w:val="both"/>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D147C4">
        <w:rPr>
          <w:rFonts w:ascii="Tahoma" w:hAnsi="Tahoma" w:cs="Tahoma"/>
          <w:sz w:val="21"/>
          <w:szCs w:val="21"/>
          <w:lang w:val="es-MX"/>
        </w:rPr>
        <w:t>51 y 52 de la Ley de Contrataciones del Estado,</w:t>
      </w:r>
      <w:r w:rsidRPr="00D147C4">
        <w:rPr>
          <w:rFonts w:ascii="Tahoma" w:hAnsi="Tahoma" w:cs="Tahoma"/>
          <w:sz w:val="21"/>
          <w:szCs w:val="21"/>
        </w:rPr>
        <w:t xml:space="preserve"> aprobada mediante Decreto Legislativo № 1017,</w:t>
      </w:r>
      <w:r w:rsidRPr="00D147C4">
        <w:rPr>
          <w:rFonts w:ascii="Tahoma" w:hAnsi="Tahoma" w:cs="Tahoma"/>
          <w:sz w:val="21"/>
          <w:szCs w:val="21"/>
          <w:lang w:val="es-MX"/>
        </w:rPr>
        <w:t xml:space="preserve"> </w:t>
      </w:r>
      <w:r w:rsidRPr="00D147C4">
        <w:rPr>
          <w:rFonts w:ascii="Tahoma" w:hAnsi="Tahoma" w:cs="Tahoma"/>
          <w:sz w:val="21"/>
          <w:szCs w:val="21"/>
        </w:rPr>
        <w:t>norma aplicable al momento de la presunta comisión de la infracción</w:t>
      </w:r>
      <w:r w:rsidRPr="00D147C4">
        <w:rPr>
          <w:rFonts w:ascii="Tahoma" w:hAnsi="Tahoma" w:cs="Tahoma"/>
          <w:sz w:val="21"/>
          <w:szCs w:val="21"/>
          <w:lang w:val="es-MX"/>
        </w:rPr>
        <w:t xml:space="preserve">, y en los casos expresamente previstos en el artículo 237 de su Reglamento, aprobado mediante Decreto Supremo </w:t>
      </w:r>
      <w:r w:rsidRPr="00D147C4">
        <w:rPr>
          <w:rFonts w:ascii="Tahoma" w:hAnsi="Tahoma" w:cs="Tahoma"/>
          <w:sz w:val="21"/>
          <w:szCs w:val="21"/>
        </w:rPr>
        <w:t xml:space="preserve">№ 184-2008-EF, </w:t>
      </w:r>
      <w:r w:rsidRPr="00D147C4">
        <w:rPr>
          <w:rFonts w:ascii="Tahoma" w:hAnsi="Tahoma" w:cs="Tahoma"/>
          <w:sz w:val="21"/>
          <w:szCs w:val="21"/>
          <w:lang w:val="es-MX"/>
        </w:rPr>
        <w:t>sin perjuicio de las acciones legales que correspondan adoptar a la Entidades, dentro de sus respectivas atribuciones, en salvaguarda de sus intereses</w:t>
      </w:r>
      <w:r w:rsidRPr="00D147C4">
        <w:rPr>
          <w:rFonts w:ascii="Tahoma" w:hAnsi="Tahoma" w:cs="Tahoma"/>
          <w:sz w:val="21"/>
          <w:szCs w:val="21"/>
        </w:rPr>
        <w:t>.</w:t>
      </w:r>
    </w:p>
    <w:p w:rsidR="00D147C4" w:rsidRPr="00D147C4" w:rsidRDefault="00D147C4" w:rsidP="00D147C4">
      <w:pPr>
        <w:pStyle w:val="Prrafodelista"/>
        <w:rPr>
          <w:rFonts w:ascii="Tahoma" w:hAnsi="Tahoma" w:cs="Tahoma"/>
          <w:sz w:val="21"/>
          <w:szCs w:val="21"/>
          <w:lang w:val="es-PE"/>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lang w:val="es-PE"/>
        </w:rPr>
        <w:t>E</w:t>
      </w:r>
      <w:r w:rsidRPr="00D147C4">
        <w:rPr>
          <w:rFonts w:ascii="Tahoma" w:hAnsi="Tahoma" w:cs="Tahoma"/>
          <w:sz w:val="21"/>
          <w:szCs w:val="21"/>
        </w:rPr>
        <w:t>n el presente caso, la denuncia efectuada contra el Postor está referida a su supuesta responsabilidad en la presentación de documentos falsos y/o inexactos en la Adjudicación de Menor Cuantía № 0107-2010-SEDAPAL, infracción tipificada en el literal i) del numeral 51.1 del artículo 51 de la Ley en concordancia con el literal i) del numeral 1 del artículo 237 del Reglamento</w:t>
      </w:r>
      <w:r w:rsidRPr="00D147C4">
        <w:rPr>
          <w:rFonts w:ascii="Tahoma" w:hAnsi="Tahoma" w:cs="Tahoma"/>
          <w:sz w:val="21"/>
          <w:szCs w:val="21"/>
          <w:vertAlign w:val="superscript"/>
        </w:rPr>
        <w:footnoteReference w:id="2"/>
      </w:r>
      <w:r w:rsidRPr="00D147C4">
        <w:rPr>
          <w:rFonts w:ascii="Tahoma" w:hAnsi="Tahoma" w:cs="Tahoma"/>
          <w:sz w:val="21"/>
          <w:szCs w:val="21"/>
        </w:rPr>
        <w:t xml:space="preserve">, normas vigentes al momento de suscitarse los hechos denunciados. </w:t>
      </w:r>
    </w:p>
    <w:p w:rsidR="00D147C4" w:rsidRPr="00D147C4" w:rsidRDefault="00D147C4" w:rsidP="00D147C4">
      <w:pPr>
        <w:pStyle w:val="Prrafodelista"/>
        <w:rPr>
          <w:rFonts w:ascii="Tahoma" w:hAnsi="Tahoma" w:cs="Tahoma"/>
          <w:b/>
          <w:bCs/>
          <w:shadow/>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Al respecto, </w:t>
      </w:r>
      <w:r w:rsidRPr="00D147C4">
        <w:rPr>
          <w:rFonts w:ascii="Tahoma" w:hAnsi="Tahoma" w:cs="Tahoma"/>
          <w:sz w:val="21"/>
          <w:szCs w:val="21"/>
          <w:lang w:val="es-MX" w:eastAsia="ja-JP"/>
        </w:rPr>
        <w:t xml:space="preserve">el literal i) del numeral 51.1 del artículo 51 de la Ley, </w:t>
      </w:r>
      <w:r w:rsidRPr="00D147C4">
        <w:rPr>
          <w:rFonts w:ascii="Tahoma" w:hAnsi="Tahoma" w:cs="Tahoma"/>
          <w:sz w:val="21"/>
          <w:szCs w:val="21"/>
        </w:rPr>
        <w:t>establece que serán sancionados aquellos postores que presenten documentos falsos o información inexacta a las Entidades, al Tribunal o al OSCE.</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primer lugar, debe tenerse presente que, la infracción imputada al Postor se configura con la sola presentación de documentos falsos y/o inexactos ante la Entidad o al OSCE, es decir con la sola afectación del </w:t>
      </w:r>
      <w:r w:rsidRPr="00D147C4">
        <w:rPr>
          <w:rFonts w:ascii="Tahoma" w:hAnsi="Tahoma" w:cs="Tahoma"/>
          <w:i/>
          <w:sz w:val="21"/>
          <w:szCs w:val="21"/>
        </w:rPr>
        <w:t>Principio de Presunción de Veracidad</w:t>
      </w:r>
      <w:r w:rsidRPr="00D147C4">
        <w:rPr>
          <w:rStyle w:val="Refdenotaalpie"/>
          <w:rFonts w:ascii="Tahoma" w:hAnsi="Tahoma" w:cs="Tahoma"/>
          <w:sz w:val="21"/>
          <w:szCs w:val="21"/>
        </w:rPr>
        <w:footnoteReference w:id="3"/>
      </w:r>
      <w:r w:rsidRPr="00D147C4">
        <w:rPr>
          <w:rFonts w:ascii="Tahoma" w:hAnsi="Tahoma" w:cs="Tahoma"/>
          <w:sz w:val="21"/>
          <w:szCs w:val="21"/>
        </w:rPr>
        <w:t xml:space="preserve"> consagrado en el acápite 1.7 del Artículo IV del Título Preliminar de la Ley № 27444, del Procedimiento Administrativo General, sin que la norma exija otros factores adicionales, por cuanto la Administración Pública presume que todos los </w:t>
      </w:r>
      <w:r w:rsidRPr="00D147C4">
        <w:rPr>
          <w:rFonts w:ascii="Tahoma" w:hAnsi="Tahoma" w:cs="Tahoma"/>
          <w:sz w:val="21"/>
          <w:szCs w:val="21"/>
        </w:rPr>
        <w:lastRenderedPageBreak/>
        <w:t>documentos y declaraciones formuladas por los administrados responden a la verdad de los hechos que ellos afirman.</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Por otro lado, el literal c) del artículo 42 del Reglamento establece que los postores y/o contratistas </w:t>
      </w:r>
      <w:r w:rsidRPr="00D147C4">
        <w:rPr>
          <w:rFonts w:ascii="Tahoma" w:hAnsi="Tahoma" w:cs="Tahoma"/>
          <w:b/>
          <w:sz w:val="21"/>
          <w:szCs w:val="21"/>
        </w:rPr>
        <w:t>son responsables de la veracidad de los documentos e información que presentan para efectos de un proceso de selección determinado</w:t>
      </w:r>
      <w:r w:rsidRPr="00D147C4">
        <w:rPr>
          <w:rFonts w:ascii="Tahoma" w:hAnsi="Tahoma" w:cs="Tahoma"/>
          <w:sz w:val="21"/>
          <w:szCs w:val="21"/>
        </w:rPr>
        <w:t>.</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Asimismo, </w:t>
      </w:r>
      <w:r w:rsidRPr="00D147C4">
        <w:rPr>
          <w:rFonts w:ascii="Tahoma" w:hAnsi="Tahoma" w:cs="Tahoma"/>
          <w:sz w:val="21"/>
          <w:szCs w:val="21"/>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D147C4">
        <w:rPr>
          <w:rFonts w:ascii="Tahoma" w:hAnsi="Tahoma" w:cs="Tahoma"/>
          <w:b/>
          <w:sz w:val="21"/>
          <w:szCs w:val="21"/>
          <w:lang w:val="es-MX"/>
        </w:rPr>
        <w:t>se presumen verificados por quien hace uso de ellos, así como de contenido veraz para fines del procedimiento administrativo</w:t>
      </w:r>
      <w:r w:rsidRPr="00D147C4">
        <w:rPr>
          <w:rFonts w:ascii="Tahoma" w:hAnsi="Tahoma" w:cs="Tahoma"/>
          <w:sz w:val="21"/>
          <w:szCs w:val="21"/>
          <w:lang w:val="es-MX"/>
        </w:rPr>
        <w:t xml:space="preserve">. Sin embargo, esta presunción es de índole </w:t>
      </w:r>
      <w:r w:rsidRPr="00D147C4">
        <w:rPr>
          <w:rFonts w:ascii="Tahoma" w:hAnsi="Tahoma" w:cs="Tahoma"/>
          <w:i/>
          <w:sz w:val="21"/>
          <w:szCs w:val="21"/>
          <w:lang w:val="es-MX"/>
        </w:rPr>
        <w:t>juris tantum</w:t>
      </w:r>
      <w:r w:rsidRPr="00D147C4">
        <w:rPr>
          <w:rFonts w:ascii="Tahoma" w:hAnsi="Tahoma" w:cs="Tahoma"/>
          <w:sz w:val="21"/>
          <w:szCs w:val="21"/>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D147C4" w:rsidRPr="00D147C4" w:rsidRDefault="00D147C4" w:rsidP="00D147C4">
      <w:pPr>
        <w:pStyle w:val="Prrafodelista"/>
        <w:rPr>
          <w:rFonts w:ascii="Tahoma" w:hAnsi="Tahoma" w:cs="Tahoma"/>
          <w:sz w:val="21"/>
          <w:szCs w:val="21"/>
          <w:lang w:val="es-ES_tradnl"/>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lang w:val="es-ES_tradnl"/>
        </w:rPr>
        <w:t>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w:t>
      </w:r>
    </w:p>
    <w:p w:rsidR="00D147C4" w:rsidRPr="00D147C4" w:rsidRDefault="00D147C4" w:rsidP="00D147C4">
      <w:pPr>
        <w:pStyle w:val="Prrafodelista"/>
        <w:jc w:val="both"/>
        <w:rPr>
          <w:rFonts w:ascii="Tahoma" w:hAnsi="Tahoma" w:cs="Tahoma"/>
          <w:sz w:val="21"/>
          <w:szCs w:val="21"/>
          <w:lang w:val="es-ES_tradnl"/>
        </w:rPr>
      </w:pPr>
    </w:p>
    <w:p w:rsidR="00D147C4" w:rsidRPr="00D147C4" w:rsidRDefault="00D147C4" w:rsidP="00D147C4">
      <w:pPr>
        <w:pStyle w:val="Prrafodelista"/>
        <w:ind w:left="567"/>
        <w:jc w:val="both"/>
        <w:rPr>
          <w:rFonts w:ascii="Tahoma" w:hAnsi="Tahoma" w:cs="Tahoma"/>
          <w:sz w:val="21"/>
          <w:szCs w:val="21"/>
          <w:lang w:val="es-ES_tradnl"/>
        </w:rPr>
      </w:pPr>
      <w:r w:rsidRPr="00D147C4">
        <w:rPr>
          <w:rFonts w:ascii="Tahoma" w:hAnsi="Tahoma" w:cs="Tahoma"/>
          <w:sz w:val="21"/>
          <w:szCs w:val="21"/>
          <w:lang w:val="es-ES_tradnl"/>
        </w:rPr>
        <w:t>Por otro lado, la infracción referida a información inexacta se configura ante la presentación de documentos no concordantes con la realidad, que constituye una forma de falseamiento de la misma, a través del quebrantamiento de los principios de moralidad y de presunción de veracidad.</w:t>
      </w:r>
    </w:p>
    <w:p w:rsidR="00D147C4" w:rsidRPr="00D147C4" w:rsidRDefault="00D147C4" w:rsidP="00D147C4">
      <w:pPr>
        <w:pStyle w:val="Prrafodelista"/>
        <w:jc w:val="both"/>
        <w:rPr>
          <w:rFonts w:ascii="Tahoma" w:hAnsi="Tahoma" w:cs="Tahoma"/>
          <w:sz w:val="21"/>
          <w:szCs w:val="21"/>
        </w:rPr>
      </w:pPr>
    </w:p>
    <w:p w:rsidR="00D147C4" w:rsidRPr="00D147C4" w:rsidRDefault="00D147C4" w:rsidP="00D147C4">
      <w:pPr>
        <w:pStyle w:val="Prrafodelista"/>
        <w:numPr>
          <w:ilvl w:val="0"/>
          <w:numId w:val="1"/>
        </w:numPr>
        <w:tabs>
          <w:tab w:val="clear" w:pos="360"/>
          <w:tab w:val="left" w:pos="-2340"/>
          <w:tab w:val="num" w:pos="567"/>
        </w:tabs>
        <w:ind w:left="567" w:hanging="567"/>
        <w:contextualSpacing/>
        <w:jc w:val="both"/>
        <w:rPr>
          <w:rFonts w:ascii="Tahoma" w:hAnsi="Tahoma" w:cs="Tahoma"/>
          <w:sz w:val="21"/>
          <w:szCs w:val="21"/>
          <w:lang w:eastAsia="en-US"/>
        </w:rPr>
      </w:pPr>
      <w:r w:rsidRPr="00D147C4">
        <w:rPr>
          <w:rFonts w:ascii="Tahoma" w:hAnsi="Tahoma" w:cs="Tahoma"/>
          <w:sz w:val="21"/>
          <w:szCs w:val="21"/>
        </w:rPr>
        <w:t xml:space="preserve">En el caso materia de análisis, la imputación efectuada contra el Postor está referida a que éste habría presentado, como parte de su propuesta técnica, documentos inexactos, consistentes </w:t>
      </w:r>
      <w:r w:rsidRPr="00D147C4">
        <w:rPr>
          <w:rFonts w:ascii="Tahoma" w:hAnsi="Tahoma" w:cs="Tahoma"/>
          <w:sz w:val="21"/>
          <w:szCs w:val="21"/>
          <w:lang w:val="es-PE"/>
        </w:rPr>
        <w:t xml:space="preserve">en: </w:t>
      </w:r>
      <w:r w:rsidRPr="00D147C4">
        <w:rPr>
          <w:rFonts w:ascii="Tahoma" w:hAnsi="Tahoma" w:cs="Tahoma"/>
          <w:b/>
          <w:sz w:val="21"/>
          <w:szCs w:val="21"/>
          <w:lang w:eastAsia="en-US"/>
        </w:rPr>
        <w:t>(i)</w:t>
      </w:r>
      <w:r w:rsidRPr="00D147C4">
        <w:rPr>
          <w:rFonts w:ascii="Tahoma" w:hAnsi="Tahoma" w:cs="Tahoma"/>
          <w:sz w:val="21"/>
          <w:szCs w:val="21"/>
          <w:lang w:eastAsia="en-US"/>
        </w:rPr>
        <w:t xml:space="preserve"> Contrato de Prestación de Servicios Médicos con su respectiva Carta de Conformidad de fechas 17 de febrero de 2007 y 25 de febrero de 2008, respectivamente, emitidos por el Centro de Diagnostico San Isidro S.A.C.; </w:t>
      </w:r>
      <w:r w:rsidRPr="00D147C4">
        <w:rPr>
          <w:rFonts w:ascii="Tahoma" w:hAnsi="Tahoma" w:cs="Tahoma"/>
          <w:b/>
          <w:sz w:val="21"/>
          <w:szCs w:val="21"/>
          <w:lang w:eastAsia="en-US"/>
        </w:rPr>
        <w:t xml:space="preserve">(ii) </w:t>
      </w:r>
      <w:r w:rsidRPr="00D147C4">
        <w:rPr>
          <w:rFonts w:ascii="Tahoma" w:hAnsi="Tahoma" w:cs="Tahoma"/>
          <w:sz w:val="21"/>
          <w:szCs w:val="21"/>
          <w:lang w:eastAsia="en-US"/>
        </w:rPr>
        <w:t xml:space="preserve">Contrato de Prestación de Servicios Médicos con su respectiva Carta de Conformidad de fechas 02 de enero de 2005 y 05 de febrero de 2006, respectivamente, emitidos por la empresa Diagnostic Medical Center S.A.C.; </w:t>
      </w:r>
      <w:r w:rsidRPr="00D147C4">
        <w:rPr>
          <w:rFonts w:ascii="Tahoma" w:hAnsi="Tahoma" w:cs="Tahoma"/>
          <w:b/>
          <w:sz w:val="21"/>
          <w:szCs w:val="21"/>
          <w:lang w:eastAsia="en-US"/>
        </w:rPr>
        <w:t xml:space="preserve">(iii) </w:t>
      </w:r>
      <w:r w:rsidRPr="00D147C4">
        <w:rPr>
          <w:rFonts w:ascii="Tahoma" w:hAnsi="Tahoma" w:cs="Tahoma"/>
          <w:sz w:val="21"/>
          <w:szCs w:val="21"/>
          <w:lang w:eastAsia="en-US"/>
        </w:rPr>
        <w:t>Contrato de Prestación de Servicios Médicos con su respectiva Carta de Conformidad de fechas 08 de enero de 2008 y 22 de enero de 2009, respectivamente, emitidos por el Centro Médico Breña de Hernán Laureano Huamán del Valle;</w:t>
      </w:r>
      <w:r w:rsidRPr="00D147C4">
        <w:rPr>
          <w:rFonts w:ascii="Tahoma" w:hAnsi="Tahoma" w:cs="Tahoma"/>
          <w:b/>
          <w:sz w:val="21"/>
          <w:szCs w:val="21"/>
          <w:lang w:eastAsia="en-US"/>
        </w:rPr>
        <w:t xml:space="preserve"> (iv)</w:t>
      </w:r>
      <w:r w:rsidRPr="00D147C4">
        <w:rPr>
          <w:rFonts w:ascii="Tahoma" w:hAnsi="Tahoma" w:cs="Tahoma"/>
          <w:sz w:val="21"/>
          <w:szCs w:val="21"/>
          <w:lang w:eastAsia="en-US"/>
        </w:rPr>
        <w:t xml:space="preserve"> Contrato de Prestación de Servicios Médicos con su respectiva Carta de Conformidad de fechas 04 de enero de 2006 y 30 de enero de 2007, respectivamente, emitidos por el Centro Médico Breña de Hernán Laureano Huamán del Valle; </w:t>
      </w:r>
      <w:r w:rsidRPr="00D147C4">
        <w:rPr>
          <w:rFonts w:ascii="Tahoma" w:hAnsi="Tahoma" w:cs="Tahoma"/>
          <w:b/>
          <w:sz w:val="21"/>
          <w:szCs w:val="21"/>
          <w:lang w:eastAsia="en-US"/>
        </w:rPr>
        <w:t>(v)</w:t>
      </w:r>
      <w:r w:rsidRPr="00D147C4">
        <w:rPr>
          <w:rFonts w:ascii="Tahoma" w:hAnsi="Tahoma" w:cs="Tahoma"/>
          <w:sz w:val="21"/>
          <w:szCs w:val="21"/>
          <w:lang w:eastAsia="en-US"/>
        </w:rPr>
        <w:t xml:space="preserve"> Contrato de Prestación de Servicios Médicos con su respectiva Carta de Conformidad de fechas 09 de enero de 2009 y 16 de abril de 2010, respectivamente, emitidos por el Centro Médico Breña de Hernán Laureano Huamán del Valle.</w:t>
      </w:r>
    </w:p>
    <w:p w:rsidR="00D147C4" w:rsidRPr="00D147C4" w:rsidRDefault="00D147C4" w:rsidP="00D147C4">
      <w:pPr>
        <w:pStyle w:val="Prrafodelista"/>
        <w:tabs>
          <w:tab w:val="left" w:pos="-2340"/>
        </w:tabs>
        <w:ind w:left="567"/>
        <w:jc w:val="both"/>
        <w:rPr>
          <w:rFonts w:ascii="Tahoma" w:hAnsi="Tahoma" w:cs="Tahoma"/>
          <w:sz w:val="21"/>
          <w:szCs w:val="21"/>
          <w:lang w:eastAsia="en-US"/>
        </w:rPr>
      </w:pPr>
    </w:p>
    <w:p w:rsidR="00D147C4" w:rsidRPr="00D147C4" w:rsidRDefault="00D147C4" w:rsidP="00D147C4">
      <w:pPr>
        <w:pStyle w:val="Prrafodelista"/>
        <w:numPr>
          <w:ilvl w:val="0"/>
          <w:numId w:val="1"/>
        </w:numPr>
        <w:tabs>
          <w:tab w:val="clear" w:pos="360"/>
          <w:tab w:val="left" w:pos="-2340"/>
          <w:tab w:val="num" w:pos="567"/>
        </w:tabs>
        <w:ind w:left="567" w:hanging="567"/>
        <w:contextualSpacing/>
        <w:jc w:val="both"/>
        <w:rPr>
          <w:rFonts w:ascii="Tahoma" w:hAnsi="Tahoma" w:cs="Tahoma"/>
          <w:sz w:val="21"/>
          <w:szCs w:val="21"/>
        </w:rPr>
      </w:pPr>
      <w:r w:rsidRPr="00D147C4">
        <w:rPr>
          <w:rFonts w:ascii="Tahoma" w:hAnsi="Tahoma" w:cs="Tahoma"/>
          <w:sz w:val="21"/>
          <w:szCs w:val="21"/>
        </w:rPr>
        <w:t>Sobre la base de lo expuesto, en virtud al derecho de defensa que ampara a los administrados, el Postor presentó sus descargos manifestando que, por desconocimiento no se habían generado las facturas entre su representada y los comitentes (con los cuales suscribieron los contratos cuestionados), sin embargo, los servicios prestados fueron reales, siendo prueba de ello es que éstos están consignados en los Registros de Ventas y PDT de los periodos 2005 al 2009. Del mismo modo, señaló que no presentó documentación falsa ni inexacta, toda vez que los contratos de prestación de servicios presentados en el presente proceso de selección son verdaderos, razón por la cual, solicitó a este Colegiado se le eximiera de sanción administrativa.</w:t>
      </w:r>
    </w:p>
    <w:p w:rsidR="00D147C4" w:rsidRPr="00D147C4" w:rsidRDefault="00D147C4" w:rsidP="00D147C4">
      <w:pPr>
        <w:pStyle w:val="Textoindependiente"/>
        <w:tabs>
          <w:tab w:val="left" w:pos="-2340"/>
        </w:tabs>
        <w:ind w:left="1287"/>
        <w:rPr>
          <w:rFonts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Conforme a lo expuesto, corresponde al Tribunal pronunciarse respecto de la validez de los documentos cuestionados, a fin de verificar si resulta procedente imponer al Postor la sanción administrativa que el Reglamento ha previsto para estos casos.</w:t>
      </w:r>
    </w:p>
    <w:p w:rsidR="00D147C4" w:rsidRPr="00D147C4" w:rsidRDefault="00D147C4" w:rsidP="00D147C4">
      <w:pPr>
        <w:pStyle w:val="Prrafodelista"/>
        <w:tabs>
          <w:tab w:val="num" w:pos="567"/>
        </w:tabs>
        <w:rPr>
          <w:rFonts w:ascii="Tahoma" w:hAnsi="Tahoma" w:cs="Tahoma"/>
          <w:sz w:val="21"/>
          <w:szCs w:val="21"/>
        </w:rPr>
      </w:pPr>
    </w:p>
    <w:p w:rsidR="00D147C4" w:rsidRPr="00D147C4" w:rsidRDefault="00D147C4" w:rsidP="00D147C4">
      <w:pPr>
        <w:pStyle w:val="Prrafodelista"/>
        <w:tabs>
          <w:tab w:val="num" w:pos="567"/>
        </w:tabs>
        <w:ind w:left="567"/>
        <w:jc w:val="both"/>
        <w:rPr>
          <w:rFonts w:ascii="Tahoma" w:hAnsi="Tahoma" w:cs="Tahoma"/>
          <w:b/>
          <w:shadow/>
          <w:sz w:val="21"/>
          <w:szCs w:val="21"/>
        </w:rPr>
      </w:pPr>
      <w:r w:rsidRPr="00D147C4">
        <w:rPr>
          <w:rFonts w:ascii="Tahoma" w:hAnsi="Tahoma" w:cs="Tahoma"/>
          <w:b/>
          <w:shadow/>
          <w:sz w:val="21"/>
          <w:szCs w:val="21"/>
        </w:rPr>
        <w:t>Respecto a la documentación supuestamente emitida por el Centro de Diagnostico San Isidro S.A.C.:</w:t>
      </w:r>
    </w:p>
    <w:p w:rsidR="00D147C4" w:rsidRPr="00D147C4" w:rsidRDefault="00D147C4" w:rsidP="00D147C4">
      <w:pPr>
        <w:pStyle w:val="Prrafodelista"/>
        <w:tabs>
          <w:tab w:val="num" w:pos="567"/>
        </w:tabs>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aras de verificar la veracidad del Contrato de Prestación de Servicios Médicos con su respectiva Carta de Conformidad de fechas 17 de febrero de 2007 y 25 de febrero de 2008, respectivamente, en aplicación del </w:t>
      </w:r>
      <w:r w:rsidRPr="00D147C4">
        <w:rPr>
          <w:rFonts w:ascii="Tahoma" w:hAnsi="Tahoma" w:cs="Tahoma"/>
          <w:i/>
          <w:sz w:val="21"/>
          <w:szCs w:val="21"/>
        </w:rPr>
        <w:t xml:space="preserve">Principio de Verdad Material, </w:t>
      </w:r>
      <w:r w:rsidRPr="00D147C4">
        <w:rPr>
          <w:rFonts w:ascii="Tahoma" w:hAnsi="Tahoma" w:cs="Tahoma"/>
          <w:sz w:val="21"/>
          <w:szCs w:val="21"/>
        </w:rPr>
        <w:t>contemplado en el numeral 1.11 del Artículo IV del Título Preliminar de la Ley № 27444, y para mejor resolver, a través del decreto de fecha 04 de abril de 2011, el Tribunal requirió al Centro de Diagnostico San Isidro S.A.C. a fin que cumpliera con informar y dar conformidad al contenido de los documentos antes mencionados</w:t>
      </w:r>
      <w:r w:rsidRPr="00D147C4">
        <w:rPr>
          <w:rFonts w:ascii="Tahoma" w:hAnsi="Tahoma" w:cs="Tahoma"/>
          <w:sz w:val="21"/>
          <w:szCs w:val="21"/>
          <w:lang w:val="es-ES_tradnl"/>
        </w:rPr>
        <w:t>.</w:t>
      </w:r>
    </w:p>
    <w:p w:rsidR="00D147C4" w:rsidRPr="00D147C4" w:rsidRDefault="00D147C4" w:rsidP="00D147C4">
      <w:pPr>
        <w:pStyle w:val="Prrafodelista"/>
        <w:tabs>
          <w:tab w:val="num" w:pos="567"/>
        </w:tabs>
        <w:ind w:left="567"/>
        <w:jc w:val="both"/>
        <w:rPr>
          <w:rFonts w:ascii="Tahoma" w:hAnsi="Tahoma" w:cs="Tahoma"/>
          <w:sz w:val="21"/>
          <w:szCs w:val="21"/>
        </w:rPr>
      </w:pPr>
    </w:p>
    <w:p w:rsidR="00D147C4" w:rsidRPr="00D147C4" w:rsidRDefault="00D147C4" w:rsidP="00D147C4">
      <w:pPr>
        <w:pStyle w:val="Prrafodelista"/>
        <w:tabs>
          <w:tab w:val="num" w:pos="567"/>
        </w:tabs>
        <w:ind w:left="567"/>
        <w:jc w:val="both"/>
        <w:rPr>
          <w:rFonts w:ascii="Tahoma" w:hAnsi="Tahoma" w:cs="Tahoma"/>
          <w:sz w:val="21"/>
          <w:szCs w:val="21"/>
        </w:rPr>
      </w:pPr>
      <w:r w:rsidRPr="00D147C4">
        <w:rPr>
          <w:rFonts w:ascii="Tahoma" w:hAnsi="Tahoma" w:cs="Tahoma"/>
          <w:sz w:val="21"/>
          <w:szCs w:val="21"/>
        </w:rPr>
        <w:t>Así, pues, de la revisión de la documentación obrante en autos, se verifica que el Centro de Diagnostico San Isidro S.A.C., pese a los reiterados requerimientos del Tribunal, mediante Oficio № 570-2011/STRI-LRA</w:t>
      </w:r>
      <w:r w:rsidRPr="00D147C4">
        <w:rPr>
          <w:rStyle w:val="Refdenotaalpie"/>
          <w:rFonts w:ascii="Tahoma" w:eastAsia="Calibri" w:hAnsi="Tahoma" w:cs="Tahoma"/>
          <w:sz w:val="21"/>
          <w:szCs w:val="21"/>
        </w:rPr>
        <w:footnoteReference w:id="4"/>
      </w:r>
      <w:r w:rsidRPr="00D147C4">
        <w:rPr>
          <w:rFonts w:ascii="Tahoma" w:hAnsi="Tahoma" w:cs="Tahoma"/>
          <w:sz w:val="21"/>
          <w:szCs w:val="21"/>
        </w:rPr>
        <w:t xml:space="preserve"> y № 706-2011/STRI-LRA</w:t>
      </w:r>
      <w:r w:rsidRPr="00D147C4">
        <w:rPr>
          <w:rStyle w:val="Refdenotaalpie"/>
          <w:rFonts w:ascii="Tahoma" w:eastAsia="Calibri" w:hAnsi="Tahoma" w:cs="Tahoma"/>
          <w:sz w:val="21"/>
          <w:szCs w:val="21"/>
        </w:rPr>
        <w:footnoteReference w:id="5"/>
      </w:r>
      <w:r w:rsidRPr="00D147C4">
        <w:rPr>
          <w:rFonts w:ascii="Tahoma" w:hAnsi="Tahoma" w:cs="Tahoma"/>
          <w:sz w:val="21"/>
          <w:szCs w:val="21"/>
        </w:rPr>
        <w:t>, no ha cumplido con remitir la información solicitada mediante decreto de fecha 04 de abril de 2011. Ahora bien, y en base a lo expuesto, este Tribunal considera que debe prevalecer la presunción de veracidad que reviste al Contrato de Prestación de Servicios Médicos con su respectiva Carta de Conformidad de fechas 17 de febrero de 2007 y 25 de febrero de 2008, respectivamente,</w:t>
      </w:r>
      <w:r w:rsidRPr="00D147C4">
        <w:rPr>
          <w:rFonts w:ascii="Tahoma" w:hAnsi="Tahoma" w:cs="Tahoma"/>
          <w:b/>
          <w:sz w:val="21"/>
          <w:szCs w:val="21"/>
        </w:rPr>
        <w:t xml:space="preserve"> </w:t>
      </w:r>
      <w:r w:rsidRPr="00D147C4">
        <w:rPr>
          <w:rFonts w:ascii="Tahoma" w:hAnsi="Tahoma" w:cs="Tahoma"/>
          <w:sz w:val="21"/>
          <w:szCs w:val="21"/>
        </w:rPr>
        <w:t>en tanto no existen evidencias suficientes que acrediten de manera fehaciente y objetiva que los documentos sean falsos y/o inexactos, toda vez que la mencionada empresa no ha negado ni reconocido que suscribió con el Postor el contrato cuestionado, así como tampoco que expidió dicha constancia a favor del Postor.</w:t>
      </w:r>
    </w:p>
    <w:p w:rsidR="00D147C4" w:rsidRPr="00D147C4" w:rsidRDefault="00D147C4" w:rsidP="00D147C4">
      <w:pPr>
        <w:pStyle w:val="Prrafodelista"/>
        <w:tabs>
          <w:tab w:val="num" w:pos="567"/>
        </w:tabs>
        <w:rPr>
          <w:rFonts w:ascii="Tahoma" w:hAnsi="Tahoma" w:cs="Tahoma"/>
          <w:sz w:val="21"/>
          <w:szCs w:val="21"/>
        </w:rPr>
      </w:pPr>
    </w:p>
    <w:p w:rsidR="00D147C4" w:rsidRPr="00D147C4" w:rsidRDefault="00D147C4" w:rsidP="00D147C4">
      <w:pPr>
        <w:pStyle w:val="Prrafodelista"/>
        <w:tabs>
          <w:tab w:val="num" w:pos="567"/>
        </w:tabs>
        <w:ind w:left="567"/>
        <w:jc w:val="both"/>
        <w:rPr>
          <w:rFonts w:ascii="Tahoma" w:hAnsi="Tahoma" w:cs="Tahoma"/>
          <w:b/>
          <w:shadow/>
          <w:sz w:val="21"/>
          <w:szCs w:val="21"/>
        </w:rPr>
      </w:pPr>
      <w:r w:rsidRPr="00D147C4">
        <w:rPr>
          <w:rFonts w:ascii="Tahoma" w:hAnsi="Tahoma" w:cs="Tahoma"/>
          <w:b/>
          <w:shadow/>
          <w:sz w:val="21"/>
          <w:szCs w:val="21"/>
        </w:rPr>
        <w:t>Respecto a la documentación supuestamente emitida por la empresa Diagnostic Medical Center S.A.C.:</w:t>
      </w:r>
    </w:p>
    <w:p w:rsidR="00D147C4" w:rsidRPr="00D147C4" w:rsidRDefault="00D147C4" w:rsidP="00D147C4">
      <w:pPr>
        <w:pStyle w:val="Prrafodelista"/>
        <w:tabs>
          <w:tab w:val="num" w:pos="567"/>
        </w:tabs>
        <w:ind w:left="567"/>
        <w:jc w:val="both"/>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aplicación del </w:t>
      </w:r>
      <w:r w:rsidRPr="00D147C4">
        <w:rPr>
          <w:rFonts w:ascii="Tahoma" w:hAnsi="Tahoma" w:cs="Tahoma"/>
          <w:i/>
          <w:sz w:val="21"/>
          <w:szCs w:val="21"/>
        </w:rPr>
        <w:t>Principio de Impulso de Oficio</w:t>
      </w:r>
      <w:r w:rsidRPr="00D147C4">
        <w:rPr>
          <w:rStyle w:val="Refdenotaalpie"/>
          <w:rFonts w:ascii="Tahoma" w:hAnsi="Tahoma" w:cs="Tahoma"/>
          <w:i/>
          <w:sz w:val="21"/>
          <w:szCs w:val="21"/>
        </w:rPr>
        <w:footnoteReference w:id="6"/>
      </w:r>
      <w:r w:rsidRPr="00D147C4">
        <w:rPr>
          <w:rFonts w:ascii="Tahoma" w:hAnsi="Tahoma" w:cs="Tahoma"/>
          <w:i/>
          <w:sz w:val="21"/>
          <w:szCs w:val="21"/>
        </w:rPr>
        <w:t xml:space="preserve">, </w:t>
      </w:r>
      <w:r w:rsidRPr="00D147C4">
        <w:rPr>
          <w:rFonts w:ascii="Tahoma" w:hAnsi="Tahoma" w:cs="Tahoma"/>
          <w:sz w:val="21"/>
          <w:szCs w:val="21"/>
        </w:rPr>
        <w:t>contemplado en el numeral 1.3 del Artículo IV del Título Preliminar de la Ley № 27444, Ley del Procedimiento Administrativo General, mediante decreto de fecha 04 de abril de 2011, el Tribunal solicitó información a la empresa Diagnostic Medical Center S.A.C. respecto a la veracidad del Contrato de Prestación de Servicios Médicos con su respectiva Carta de Conformidad de fechas 02 de enero de 2005 y 05 de febrero de 2006, respectivamente.</w:t>
      </w:r>
    </w:p>
    <w:p w:rsidR="00D147C4" w:rsidRPr="00D147C4" w:rsidRDefault="00D147C4" w:rsidP="00D147C4">
      <w:pPr>
        <w:pStyle w:val="Prrafodelista"/>
        <w:tabs>
          <w:tab w:val="num" w:pos="567"/>
        </w:tabs>
        <w:ind w:left="567"/>
        <w:jc w:val="both"/>
        <w:rPr>
          <w:rFonts w:ascii="Tahoma" w:hAnsi="Tahoma" w:cs="Tahoma"/>
          <w:sz w:val="21"/>
          <w:szCs w:val="21"/>
        </w:rPr>
      </w:pPr>
    </w:p>
    <w:p w:rsidR="00D147C4" w:rsidRPr="00D147C4" w:rsidRDefault="00D147C4" w:rsidP="00D147C4">
      <w:pPr>
        <w:tabs>
          <w:tab w:val="num" w:pos="567"/>
        </w:tabs>
        <w:ind w:left="567"/>
        <w:jc w:val="both"/>
        <w:rPr>
          <w:rFonts w:ascii="Tahoma" w:hAnsi="Tahoma" w:cs="Tahoma"/>
          <w:sz w:val="21"/>
          <w:szCs w:val="21"/>
        </w:rPr>
      </w:pPr>
      <w:r w:rsidRPr="00D147C4">
        <w:rPr>
          <w:rFonts w:ascii="Tahoma" w:hAnsi="Tahoma" w:cs="Tahoma"/>
          <w:sz w:val="21"/>
          <w:szCs w:val="21"/>
        </w:rPr>
        <w:t>En atención a ello, corre de autos, que la mencionada empresa (pese haber sido debidamente notificada</w:t>
      </w:r>
      <w:r w:rsidRPr="00D147C4">
        <w:rPr>
          <w:rStyle w:val="Refdenotaalpie"/>
          <w:rFonts w:ascii="Tahoma" w:hAnsi="Tahoma" w:cs="Tahoma"/>
          <w:sz w:val="21"/>
          <w:szCs w:val="21"/>
        </w:rPr>
        <w:footnoteReference w:id="7"/>
      </w:r>
      <w:r w:rsidRPr="00D147C4">
        <w:rPr>
          <w:rFonts w:ascii="Tahoma" w:hAnsi="Tahoma" w:cs="Tahoma"/>
          <w:sz w:val="21"/>
          <w:szCs w:val="21"/>
        </w:rPr>
        <w:t>) no ha cumplido con remitir la información solicitada por el Tribunal. Por lo tanto, este Colegiado considera que debe prevalecer la presunción de veracidad que reviste a los mencionados documentos,</w:t>
      </w:r>
      <w:r w:rsidRPr="00D147C4">
        <w:rPr>
          <w:rFonts w:ascii="Tahoma" w:hAnsi="Tahoma" w:cs="Tahoma"/>
          <w:b/>
          <w:sz w:val="21"/>
          <w:szCs w:val="21"/>
        </w:rPr>
        <w:t xml:space="preserve"> </w:t>
      </w:r>
      <w:r w:rsidRPr="00D147C4">
        <w:rPr>
          <w:rFonts w:ascii="Tahoma" w:hAnsi="Tahoma" w:cs="Tahoma"/>
          <w:sz w:val="21"/>
          <w:szCs w:val="21"/>
        </w:rPr>
        <w:t xml:space="preserve">en tanto no existen evidencias suficientes que acrediten de manera fehaciente y objetiva que dicho documento sea falso y/o inexacto, toda vez que no se constatado en el presente procedimiento que dicha contrato y su respectiva conformidad, no hayan sido emitidos por su emisor, fueran adulterados, o contuvieran información no acorde con la realidad. </w:t>
      </w:r>
    </w:p>
    <w:p w:rsidR="00D147C4" w:rsidRPr="00D147C4" w:rsidRDefault="00D147C4" w:rsidP="00D147C4">
      <w:pPr>
        <w:tabs>
          <w:tab w:val="num" w:pos="567"/>
        </w:tabs>
        <w:ind w:left="567"/>
        <w:jc w:val="both"/>
        <w:rPr>
          <w:rFonts w:ascii="Tahoma" w:hAnsi="Tahoma" w:cs="Tahoma"/>
          <w:sz w:val="21"/>
          <w:szCs w:val="21"/>
        </w:rPr>
      </w:pPr>
    </w:p>
    <w:p w:rsidR="00D147C4" w:rsidRPr="00D147C4" w:rsidRDefault="00D147C4" w:rsidP="00D147C4">
      <w:pPr>
        <w:pStyle w:val="Prrafodelista"/>
        <w:tabs>
          <w:tab w:val="num" w:pos="567"/>
        </w:tabs>
        <w:ind w:left="567"/>
        <w:jc w:val="both"/>
        <w:rPr>
          <w:rFonts w:ascii="Tahoma" w:hAnsi="Tahoma" w:cs="Tahoma"/>
          <w:b/>
          <w:shadow/>
          <w:sz w:val="21"/>
          <w:szCs w:val="21"/>
        </w:rPr>
      </w:pPr>
      <w:r w:rsidRPr="00D147C4">
        <w:rPr>
          <w:rFonts w:ascii="Tahoma" w:hAnsi="Tahoma" w:cs="Tahoma"/>
          <w:b/>
          <w:shadow/>
          <w:sz w:val="21"/>
          <w:szCs w:val="21"/>
        </w:rPr>
        <w:t>Respecto a la documentación supuestamente emitida por el Centro Médico Breña de Hernán Laureano Huamán del Valle:</w:t>
      </w:r>
    </w:p>
    <w:p w:rsidR="00D147C4" w:rsidRPr="00D147C4" w:rsidRDefault="00D147C4" w:rsidP="00D147C4">
      <w:pPr>
        <w:pStyle w:val="Prrafodelista"/>
        <w:tabs>
          <w:tab w:val="num" w:pos="567"/>
        </w:tabs>
        <w:ind w:left="567"/>
        <w:jc w:val="both"/>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b/>
          <w:sz w:val="21"/>
          <w:szCs w:val="21"/>
        </w:rPr>
      </w:pPr>
      <w:r w:rsidRPr="00D147C4">
        <w:rPr>
          <w:rFonts w:ascii="Tahoma" w:hAnsi="Tahoma" w:cs="Tahoma"/>
          <w:sz w:val="21"/>
          <w:szCs w:val="21"/>
        </w:rPr>
        <w:t xml:space="preserve">Adicionalmente a ello, con relación a lo esbozado por el Postor con ocasión a la presentación de sus descargos, y para mejor resolver, a través del decreto de fecha 04 de abril de 2011, este Tribunal solicitó al Centro Médico Breña de Hernán Laureano Huamán del Valle que informase y diera su conformidad, respecto Sírvase informar y dar conformidad si el contenido de los siguientes documentos: </w:t>
      </w:r>
      <w:r w:rsidRPr="00D147C4">
        <w:rPr>
          <w:rFonts w:ascii="Tahoma" w:hAnsi="Tahoma" w:cs="Tahoma"/>
          <w:b/>
          <w:sz w:val="21"/>
          <w:szCs w:val="21"/>
        </w:rPr>
        <w:t>(i)</w:t>
      </w:r>
      <w:r w:rsidRPr="00D147C4">
        <w:rPr>
          <w:rFonts w:ascii="Tahoma" w:hAnsi="Tahoma" w:cs="Tahoma"/>
          <w:sz w:val="21"/>
          <w:szCs w:val="21"/>
        </w:rPr>
        <w:t xml:space="preserve"> Contrato de Prestación de Servicios Médicos de fecha 08 de enero de 2008 y su respectiva Carta de Conformidad del 22 de enero de 2009; </w:t>
      </w:r>
      <w:r w:rsidRPr="00D147C4">
        <w:rPr>
          <w:rFonts w:ascii="Tahoma" w:hAnsi="Tahoma" w:cs="Tahoma"/>
          <w:b/>
          <w:sz w:val="21"/>
          <w:szCs w:val="21"/>
        </w:rPr>
        <w:t xml:space="preserve">(ii) </w:t>
      </w:r>
      <w:r w:rsidRPr="00D147C4">
        <w:rPr>
          <w:rFonts w:ascii="Tahoma" w:hAnsi="Tahoma" w:cs="Tahoma"/>
          <w:sz w:val="21"/>
          <w:szCs w:val="21"/>
        </w:rPr>
        <w:t xml:space="preserve">Contrato de Prestación de Servicios Médicos de fecha 04 de enero de 2006 y su respectiva Carta de Conformidad del 30 de enero de 2007; y  </w:t>
      </w:r>
      <w:r w:rsidRPr="00D147C4">
        <w:rPr>
          <w:rFonts w:ascii="Tahoma" w:hAnsi="Tahoma" w:cs="Tahoma"/>
          <w:b/>
          <w:sz w:val="21"/>
          <w:szCs w:val="21"/>
        </w:rPr>
        <w:t xml:space="preserve">(iii) </w:t>
      </w:r>
      <w:r w:rsidRPr="00D147C4">
        <w:rPr>
          <w:rFonts w:ascii="Tahoma" w:hAnsi="Tahoma" w:cs="Tahoma"/>
          <w:sz w:val="21"/>
          <w:szCs w:val="21"/>
        </w:rPr>
        <w:t xml:space="preserve">Contrato de Prestación de Servicios Médicos de fecha 09 de enero de 2009 y su respectiva Carta de Conformidad 16 de abril de 2010; </w:t>
      </w:r>
      <w:r w:rsidRPr="00D147C4">
        <w:rPr>
          <w:rFonts w:ascii="Tahoma" w:hAnsi="Tahoma" w:cs="Tahoma"/>
          <w:sz w:val="21"/>
          <w:szCs w:val="21"/>
          <w:u w:val="single"/>
        </w:rPr>
        <w:t>cuyas copias se adjuntan</w:t>
      </w:r>
      <w:r w:rsidRPr="00D147C4">
        <w:rPr>
          <w:rFonts w:ascii="Tahoma" w:hAnsi="Tahoma" w:cs="Tahoma"/>
          <w:sz w:val="21"/>
          <w:szCs w:val="21"/>
        </w:rPr>
        <w:t>, suscritos entre su representada y el Centro Diagnostico Miraflores de Rosa Elizabeth Mendez Castillo De Quito, concuerdan de manera exacta con la que obra en sus archivos, y de ser el caso, remitir copias legibles de las mismas.</w:t>
      </w:r>
    </w:p>
    <w:p w:rsidR="00D147C4" w:rsidRPr="00D147C4" w:rsidRDefault="00D147C4" w:rsidP="00D147C4">
      <w:pPr>
        <w:pStyle w:val="Prrafodelista"/>
        <w:ind w:left="567"/>
        <w:jc w:val="both"/>
        <w:rPr>
          <w:rFonts w:ascii="Tahoma" w:hAnsi="Tahoma" w:cs="Tahoma"/>
          <w:b/>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Sin embargo, el citado centro médico, pese a los reiterados requerimientos del Tribunal, mediante Oficio № 571-2011/STRI-LRA</w:t>
      </w:r>
      <w:r w:rsidRPr="00D147C4">
        <w:rPr>
          <w:rStyle w:val="Refdenotaalpie"/>
          <w:rFonts w:ascii="Tahoma" w:hAnsi="Tahoma" w:cs="Tahoma"/>
          <w:sz w:val="21"/>
          <w:szCs w:val="21"/>
        </w:rPr>
        <w:footnoteReference w:id="8"/>
      </w:r>
      <w:r w:rsidRPr="00D147C4">
        <w:rPr>
          <w:rFonts w:ascii="Tahoma" w:hAnsi="Tahoma" w:cs="Tahoma"/>
          <w:sz w:val="21"/>
          <w:szCs w:val="21"/>
        </w:rPr>
        <w:t xml:space="preserve"> y № 706-2011/STRI-LRA</w:t>
      </w:r>
      <w:r w:rsidRPr="00D147C4">
        <w:rPr>
          <w:rStyle w:val="Refdenotaalpie"/>
          <w:rFonts w:ascii="Tahoma" w:hAnsi="Tahoma" w:cs="Tahoma"/>
          <w:sz w:val="21"/>
          <w:szCs w:val="21"/>
        </w:rPr>
        <w:footnoteReference w:id="9"/>
      </w:r>
      <w:r w:rsidRPr="00D147C4">
        <w:rPr>
          <w:rFonts w:ascii="Tahoma" w:hAnsi="Tahoma" w:cs="Tahoma"/>
          <w:sz w:val="21"/>
          <w:szCs w:val="21"/>
        </w:rPr>
        <w:t xml:space="preserve"> , no ha cumplido con remitir la información solicitada mediante decreto de fecha 04 de abril de 2011. </w:t>
      </w:r>
      <w:r w:rsidRPr="00D147C4">
        <w:rPr>
          <w:rFonts w:ascii="Tahoma" w:hAnsi="Tahoma" w:cs="Tahoma"/>
          <w:bCs/>
          <w:sz w:val="21"/>
          <w:szCs w:val="21"/>
        </w:rPr>
        <w:t xml:space="preserve">De lo expuesto, y en tanto no obra en autos prueba alguna que desvirtué </w:t>
      </w:r>
      <w:r w:rsidRPr="00D147C4">
        <w:rPr>
          <w:rFonts w:ascii="Tahoma" w:hAnsi="Tahoma" w:cs="Tahoma"/>
          <w:bCs/>
          <w:sz w:val="21"/>
          <w:szCs w:val="21"/>
        </w:rPr>
        <w:lastRenderedPageBreak/>
        <w:t xml:space="preserve">los documentos presentados por el Postor en el acotado proceso de selección, este Colegiado considera que debe prevalecer la presunción de veracidad que reviste a los documentos cuestionados. </w:t>
      </w:r>
    </w:p>
    <w:p w:rsidR="00D147C4" w:rsidRPr="00D147C4" w:rsidRDefault="00D147C4" w:rsidP="00D147C4">
      <w:pPr>
        <w:pStyle w:val="Prrafodelista"/>
        <w:tabs>
          <w:tab w:val="num" w:pos="567"/>
        </w:tabs>
        <w:rPr>
          <w:rFonts w:ascii="Tahoma" w:hAnsi="Tahoma" w:cs="Tahoma"/>
          <w:sz w:val="21"/>
          <w:szCs w:val="21"/>
          <w:u w:val="single"/>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Dentro de este contexto, y no habiéndose demostrado fehacientemente que los documentos presentados por el Postor en el acotado proceso de selección  no hayan sido emitidos por su emisor, fueran adulterados, o contuvieran información no acorde con la realidad, el Postor no es pasible de sanción por la causal invocada, ya que existiría en el presente caso una duda razonable, hecho que favorecería al administrado, ya que todo administrado puede ser sancionado en virtud a pruebas que generen convicción sobre su responsabilidad. Sin perjuicio que la parte que se considere afectada adopte las medidas legales que considere pertinentes.</w:t>
      </w:r>
    </w:p>
    <w:p w:rsidR="00D147C4" w:rsidRPr="00D147C4" w:rsidRDefault="00D147C4" w:rsidP="00D147C4">
      <w:pPr>
        <w:pStyle w:val="Prrafodelista"/>
        <w:tabs>
          <w:tab w:val="num" w:pos="567"/>
        </w:tabs>
        <w:ind w:left="567"/>
        <w:jc w:val="both"/>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Asimismo, es pertinente indicar que “</w:t>
      </w:r>
      <w:r w:rsidRPr="00D147C4">
        <w:rPr>
          <w:rFonts w:ascii="Tahoma" w:hAnsi="Tahoma" w:cs="Tahoma"/>
          <w:i/>
          <w:sz w:val="21"/>
          <w:szCs w:val="21"/>
        </w:rPr>
        <w:t>la absolución en caso de insuficiencia probatoria o duda razonable sobre su culpabilidad, se genera si la evidencia actuada en el procedimiento administrativo sancionador no llega a formar convicción de la ilicitud del acto y de la culpabilidad del administrado, se impone el mandato de absolución implícito que esta presunción conlleva – in dubio pro reo -. En todos los casos de inexistencia de prueba necesaria para destruir la presunción de inocencia, incluyendo la duda razonable, obliga a la absolución del reo</w:t>
      </w:r>
      <w:r w:rsidRPr="00D147C4">
        <w:rPr>
          <w:rFonts w:ascii="Tahoma" w:hAnsi="Tahoma" w:cs="Tahoma"/>
          <w:sz w:val="21"/>
          <w:szCs w:val="21"/>
        </w:rPr>
        <w:t>”</w:t>
      </w:r>
      <w:r w:rsidRPr="00D147C4">
        <w:rPr>
          <w:rStyle w:val="Refdenotaalpie"/>
          <w:rFonts w:ascii="Tahoma" w:hAnsi="Tahoma" w:cs="Tahoma"/>
          <w:sz w:val="21"/>
          <w:szCs w:val="21"/>
        </w:rPr>
        <w:footnoteReference w:id="10"/>
      </w:r>
      <w:r w:rsidRPr="00D147C4">
        <w:rPr>
          <w:rFonts w:ascii="Tahoma" w:hAnsi="Tahoma" w:cs="Tahoma"/>
          <w:sz w:val="21"/>
          <w:szCs w:val="21"/>
        </w:rPr>
        <w:t>, lo cual tiene concordancia con el principio de presunción de licitud, inocencia o corrección establecido en el artículo 230 de la Ley del Procedimiento Administrativo General.</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atención a ello, la potestad sancionadora del Tribunal se encuentra regida, entre otros por el </w:t>
      </w:r>
      <w:r w:rsidRPr="00D147C4">
        <w:rPr>
          <w:rFonts w:ascii="Tahoma" w:hAnsi="Tahoma" w:cs="Tahoma"/>
          <w:i/>
          <w:sz w:val="21"/>
          <w:szCs w:val="21"/>
        </w:rPr>
        <w:t>principio de presunción de licitud</w:t>
      </w:r>
      <w:r w:rsidRPr="00D147C4">
        <w:rPr>
          <w:rFonts w:ascii="Tahoma" w:hAnsi="Tahoma" w:cs="Tahoma"/>
          <w:sz w:val="21"/>
          <w:szCs w:val="21"/>
        </w:rPr>
        <w:t xml:space="preserve"> a que se contrae el inciso 9 del artículo 230 de la Ley de Procedimiento Administrativo General, el cual establece que durante la tramitación de un procedimiento administrativo, las autoridades deben presumir  que los administrados han actuado apegados a sus deberes mientras que no cuenten con evidencia en contrario. Asimismo, </w:t>
      </w:r>
      <w:r w:rsidRPr="00D147C4">
        <w:rPr>
          <w:rFonts w:ascii="Tahoma" w:hAnsi="Tahoma" w:cs="Tahoma"/>
          <w:i/>
          <w:sz w:val="21"/>
          <w:szCs w:val="21"/>
        </w:rPr>
        <w:t>el principio de tipicidad</w:t>
      </w:r>
      <w:r w:rsidRPr="00D147C4">
        <w:rPr>
          <w:rFonts w:ascii="Tahoma" w:hAnsi="Tahoma" w:cs="Tahoma"/>
          <w:sz w:val="21"/>
          <w:szCs w:val="21"/>
        </w:rPr>
        <w:t>, consagrado en el numeral 4 del mismo artículo, exige que se sancionen administrativamente únicamente las infracciones expresamente previstas en las normas con rango de ley o reglamento mediante su tipificación como tales, sin admitir interpretación extensiva o analogía.</w:t>
      </w:r>
    </w:p>
    <w:p w:rsidR="00D147C4" w:rsidRPr="00D147C4" w:rsidRDefault="00D147C4" w:rsidP="00D147C4">
      <w:pPr>
        <w:pStyle w:val="Prrafodelista"/>
        <w:rPr>
          <w:rFonts w:ascii="Tahoma" w:hAnsi="Tahoma" w:cs="Tahoma"/>
          <w:sz w:val="21"/>
          <w:szCs w:val="21"/>
        </w:rPr>
      </w:pPr>
    </w:p>
    <w:p w:rsidR="00D147C4" w:rsidRPr="00D147C4" w:rsidRDefault="00D147C4" w:rsidP="00D147C4">
      <w:pPr>
        <w:pStyle w:val="Prrafodelista"/>
        <w:numPr>
          <w:ilvl w:val="0"/>
          <w:numId w:val="1"/>
        </w:numPr>
        <w:tabs>
          <w:tab w:val="clear" w:pos="360"/>
          <w:tab w:val="num" w:pos="567"/>
        </w:tabs>
        <w:ind w:left="567" w:hanging="567"/>
        <w:contextualSpacing/>
        <w:jc w:val="both"/>
        <w:rPr>
          <w:rFonts w:ascii="Tahoma" w:hAnsi="Tahoma" w:cs="Tahoma"/>
          <w:sz w:val="21"/>
          <w:szCs w:val="21"/>
        </w:rPr>
      </w:pPr>
      <w:r w:rsidRPr="00D147C4">
        <w:rPr>
          <w:rFonts w:ascii="Tahoma" w:hAnsi="Tahoma" w:cs="Tahoma"/>
          <w:sz w:val="21"/>
          <w:szCs w:val="21"/>
        </w:rPr>
        <w:t xml:space="preserve">En consecuencia, dado que no se han establecido elementos que produzcan plena certeza sobre la supuesta falsedad y/o inexactitud de la información presentada por el Postor durante el citado proceso de selección, este Colegiado concluye que debe prevalecer la presunción de veracidad que ampara al referido documento, motivo por el cual no corresponde imponerle sanción administrativa, debiendo archivarse el presente expediente. </w:t>
      </w:r>
    </w:p>
    <w:p w:rsidR="00F31A7A" w:rsidRPr="00D147C4" w:rsidRDefault="00F31A7A" w:rsidP="00117E78">
      <w:pPr>
        <w:pStyle w:val="Prrafodelista"/>
        <w:tabs>
          <w:tab w:val="num" w:pos="567"/>
        </w:tabs>
        <w:ind w:left="0"/>
        <w:rPr>
          <w:rFonts w:ascii="Tahoma" w:hAnsi="Tahoma" w:cs="Tahoma"/>
          <w:sz w:val="21"/>
          <w:szCs w:val="21"/>
        </w:rPr>
      </w:pPr>
    </w:p>
    <w:p w:rsidR="008A0308" w:rsidRPr="00D147C4" w:rsidRDefault="008A0308" w:rsidP="008A0308">
      <w:pPr>
        <w:ind w:left="567" w:firstLine="567"/>
        <w:jc w:val="both"/>
        <w:rPr>
          <w:rFonts w:ascii="Tahoma" w:hAnsi="Tahoma" w:cs="Tahoma"/>
          <w:sz w:val="21"/>
          <w:szCs w:val="21"/>
        </w:rPr>
      </w:pPr>
      <w:r w:rsidRPr="00D147C4">
        <w:rPr>
          <w:rFonts w:ascii="Tahoma" w:hAnsi="Tahoma" w:cs="Tahoma"/>
          <w:color w:val="000000"/>
          <w:sz w:val="21"/>
          <w:szCs w:val="21"/>
        </w:rPr>
        <w:lastRenderedPageBreak/>
        <w:t xml:space="preserve">Por estos fundamentos, de conformidad con el informe del Vocal Ponente </w:t>
      </w:r>
      <w:r w:rsidRPr="00D147C4">
        <w:rPr>
          <w:rFonts w:ascii="Tahoma" w:hAnsi="Tahoma" w:cs="Tahoma"/>
          <w:sz w:val="21"/>
          <w:szCs w:val="21"/>
        </w:rPr>
        <w:t>Doctor Carlos Vicente Navas Rondón</w:t>
      </w:r>
      <w:r w:rsidRPr="00D147C4">
        <w:rPr>
          <w:rFonts w:ascii="Tahoma" w:hAnsi="Tahoma" w:cs="Tahoma"/>
          <w:color w:val="000000"/>
          <w:sz w:val="21"/>
          <w:szCs w:val="21"/>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A0308" w:rsidRPr="00D147C4" w:rsidRDefault="008A0308" w:rsidP="008A0308">
      <w:pPr>
        <w:jc w:val="both"/>
        <w:rPr>
          <w:rFonts w:ascii="Tahoma" w:hAnsi="Tahoma" w:cs="Tahoma"/>
          <w:sz w:val="21"/>
          <w:szCs w:val="21"/>
        </w:rPr>
      </w:pPr>
    </w:p>
    <w:p w:rsidR="00F31A7A" w:rsidRPr="00D147C4" w:rsidRDefault="00F31A7A" w:rsidP="00266B38">
      <w:pPr>
        <w:ind w:left="567" w:firstLine="567"/>
        <w:jc w:val="both"/>
        <w:rPr>
          <w:rFonts w:ascii="Tahoma" w:hAnsi="Tahoma" w:cs="Tahoma"/>
          <w:sz w:val="21"/>
          <w:szCs w:val="21"/>
        </w:rPr>
      </w:pPr>
    </w:p>
    <w:p w:rsidR="00F31A7A" w:rsidRPr="00D147C4" w:rsidRDefault="00F31A7A" w:rsidP="00F31A7A">
      <w:pPr>
        <w:ind w:right="-315"/>
        <w:jc w:val="both"/>
        <w:rPr>
          <w:rFonts w:ascii="Tahoma" w:hAnsi="Tahoma" w:cs="Tahoma"/>
          <w:b/>
          <w:sz w:val="21"/>
          <w:szCs w:val="21"/>
        </w:rPr>
      </w:pPr>
      <w:r w:rsidRPr="00D147C4">
        <w:rPr>
          <w:rFonts w:ascii="Tahoma" w:hAnsi="Tahoma" w:cs="Tahoma"/>
          <w:b/>
          <w:sz w:val="21"/>
          <w:szCs w:val="21"/>
        </w:rPr>
        <w:t>LA SALA RESUELVE:</w:t>
      </w:r>
    </w:p>
    <w:p w:rsidR="00F31A7A" w:rsidRPr="00D147C4" w:rsidRDefault="00F31A7A" w:rsidP="00F31A7A">
      <w:pPr>
        <w:ind w:left="-180"/>
        <w:jc w:val="both"/>
        <w:rPr>
          <w:rFonts w:ascii="Tahoma" w:hAnsi="Tahoma" w:cs="Tahoma"/>
          <w:sz w:val="21"/>
          <w:szCs w:val="21"/>
        </w:rPr>
      </w:pPr>
    </w:p>
    <w:p w:rsidR="00D147C4" w:rsidRPr="00D147C4" w:rsidRDefault="00D147C4" w:rsidP="00D147C4">
      <w:pPr>
        <w:ind w:left="567"/>
        <w:jc w:val="both"/>
        <w:rPr>
          <w:rFonts w:ascii="Tahoma" w:hAnsi="Tahoma" w:cs="Tahoma"/>
          <w:sz w:val="21"/>
          <w:szCs w:val="21"/>
        </w:rPr>
      </w:pPr>
      <w:r w:rsidRPr="00D147C4">
        <w:rPr>
          <w:rFonts w:ascii="Tahoma" w:hAnsi="Tahoma" w:cs="Tahoma"/>
          <w:sz w:val="21"/>
          <w:szCs w:val="21"/>
        </w:rPr>
        <w:t>Declarar no ha lugar la imposición de sanción administrativa a la señora ROSA ELIZABETH MENDEZ CASTILLO DE QUITO por su supuesta responsabilidad en  la presentación de documentación falsa y/o inexacta en la Adjudicación de Men</w:t>
      </w:r>
      <w:r w:rsidR="001559F2">
        <w:rPr>
          <w:rFonts w:ascii="Tahoma" w:hAnsi="Tahoma" w:cs="Tahoma"/>
          <w:sz w:val="21"/>
          <w:szCs w:val="21"/>
        </w:rPr>
        <w:t>or Cuantía № 0107-2010-SEDAPAL</w:t>
      </w:r>
      <w:r w:rsidRPr="00D147C4">
        <w:rPr>
          <w:rFonts w:ascii="Tahoma" w:hAnsi="Tahoma" w:cs="Tahoma"/>
          <w:sz w:val="21"/>
          <w:szCs w:val="21"/>
        </w:rPr>
        <w:t>, infracción tipificada en el literal i) del numeral 51.1 del artículo 51 de la Ley en concordancia con el literal i) del numeral 1 del artículo 237 del Reglamento, por los hechos expuestos,  debiendo archivarse definitivamente el presente expediente.</w:t>
      </w:r>
    </w:p>
    <w:p w:rsidR="00F31A7A" w:rsidRPr="00D147C4" w:rsidRDefault="00F31A7A" w:rsidP="00F31A7A">
      <w:pPr>
        <w:pStyle w:val="NormalWeb"/>
        <w:spacing w:before="0" w:beforeAutospacing="0" w:after="0" w:afterAutospacing="0"/>
        <w:ind w:left="567"/>
        <w:jc w:val="both"/>
        <w:rPr>
          <w:rFonts w:ascii="Tahoma" w:hAnsi="Tahoma" w:cs="Tahoma"/>
          <w:sz w:val="21"/>
          <w:szCs w:val="21"/>
        </w:rPr>
      </w:pPr>
    </w:p>
    <w:p w:rsidR="00F31A7A" w:rsidRPr="00D147C4" w:rsidRDefault="00F31A7A" w:rsidP="00F31A7A">
      <w:pPr>
        <w:pStyle w:val="Textoindependiente21"/>
        <w:ind w:firstLine="540"/>
        <w:rPr>
          <w:rFonts w:cs="Tahoma"/>
          <w:sz w:val="21"/>
          <w:szCs w:val="21"/>
        </w:rPr>
      </w:pPr>
      <w:r w:rsidRPr="00D147C4">
        <w:rPr>
          <w:rFonts w:cs="Tahoma"/>
          <w:sz w:val="21"/>
          <w:szCs w:val="21"/>
        </w:rPr>
        <w:t>Regístrese, comuníquese y publíquese.</w:t>
      </w:r>
    </w:p>
    <w:p w:rsidR="00F31A7A" w:rsidRPr="00D147C4" w:rsidRDefault="00F31A7A" w:rsidP="00F31A7A">
      <w:pPr>
        <w:ind w:left="720"/>
        <w:rPr>
          <w:rFonts w:ascii="Tahoma" w:hAnsi="Tahoma" w:cs="Tahoma"/>
          <w:b/>
          <w:bCs/>
          <w:shadow/>
          <w:sz w:val="21"/>
          <w:szCs w:val="21"/>
        </w:rPr>
      </w:pPr>
    </w:p>
    <w:p w:rsidR="00F31A7A" w:rsidRPr="00D147C4" w:rsidRDefault="00F31A7A" w:rsidP="00F31A7A">
      <w:pPr>
        <w:ind w:left="720"/>
        <w:rPr>
          <w:rFonts w:ascii="Tahoma" w:hAnsi="Tahoma" w:cs="Tahoma"/>
          <w:b/>
          <w:bCs/>
          <w:shadow/>
          <w:sz w:val="21"/>
          <w:szCs w:val="21"/>
        </w:rPr>
      </w:pPr>
    </w:p>
    <w:p w:rsidR="008A0308" w:rsidRPr="00D147C4" w:rsidRDefault="008A0308" w:rsidP="00F31A7A">
      <w:pPr>
        <w:ind w:left="720"/>
        <w:rPr>
          <w:rFonts w:ascii="Tahoma" w:hAnsi="Tahoma" w:cs="Tahoma"/>
          <w:b/>
          <w:bCs/>
          <w:shadow/>
          <w:sz w:val="21"/>
          <w:szCs w:val="21"/>
        </w:rPr>
      </w:pPr>
    </w:p>
    <w:p w:rsidR="008A0308" w:rsidRPr="00D147C4" w:rsidRDefault="008A0308" w:rsidP="00F31A7A">
      <w:pPr>
        <w:ind w:left="720"/>
        <w:rPr>
          <w:rFonts w:ascii="Tahoma" w:hAnsi="Tahoma" w:cs="Tahoma"/>
          <w:b/>
          <w:bCs/>
          <w:shadow/>
          <w:sz w:val="21"/>
          <w:szCs w:val="21"/>
        </w:rPr>
      </w:pPr>
    </w:p>
    <w:p w:rsidR="008A0308" w:rsidRPr="00D147C4" w:rsidRDefault="008A0308" w:rsidP="00F31A7A">
      <w:pPr>
        <w:ind w:left="720"/>
        <w:rPr>
          <w:rFonts w:ascii="Tahoma" w:hAnsi="Tahoma" w:cs="Tahoma"/>
          <w:b/>
          <w:bCs/>
          <w:shadow/>
          <w:sz w:val="21"/>
          <w:szCs w:val="21"/>
        </w:rPr>
      </w:pPr>
    </w:p>
    <w:p w:rsidR="00190839" w:rsidRPr="00D147C4" w:rsidRDefault="00190839" w:rsidP="00F31A7A">
      <w:pPr>
        <w:ind w:left="720"/>
        <w:rPr>
          <w:rFonts w:ascii="Tahoma" w:hAnsi="Tahoma" w:cs="Tahoma"/>
          <w:b/>
          <w:bCs/>
          <w:shadow/>
          <w:sz w:val="21"/>
          <w:szCs w:val="21"/>
        </w:rPr>
      </w:pPr>
    </w:p>
    <w:p w:rsidR="003B3C54" w:rsidRPr="00D147C4" w:rsidRDefault="003B3C54" w:rsidP="00F31A7A">
      <w:pPr>
        <w:ind w:left="720"/>
        <w:rPr>
          <w:rFonts w:ascii="Tahoma" w:hAnsi="Tahoma" w:cs="Tahoma"/>
          <w:b/>
          <w:bCs/>
          <w:shadow/>
          <w:sz w:val="21"/>
          <w:szCs w:val="21"/>
        </w:rPr>
      </w:pPr>
    </w:p>
    <w:p w:rsidR="00D93ED4" w:rsidRPr="00D147C4" w:rsidRDefault="00D93ED4" w:rsidP="00F31A7A">
      <w:pPr>
        <w:ind w:left="720"/>
        <w:rPr>
          <w:rFonts w:ascii="Tahoma" w:hAnsi="Tahoma" w:cs="Tahoma"/>
          <w:b/>
          <w:bCs/>
          <w:shadow/>
          <w:sz w:val="21"/>
          <w:szCs w:val="21"/>
        </w:rPr>
      </w:pPr>
    </w:p>
    <w:p w:rsidR="00F31A7A" w:rsidRPr="00D147C4" w:rsidRDefault="00F31A7A" w:rsidP="00F31A7A">
      <w:pPr>
        <w:jc w:val="center"/>
        <w:rPr>
          <w:rFonts w:ascii="Tahoma" w:hAnsi="Tahoma" w:cs="Tahoma"/>
          <w:b/>
          <w:bCs/>
          <w:shadow/>
          <w:sz w:val="21"/>
          <w:szCs w:val="21"/>
        </w:rPr>
      </w:pPr>
      <w:r w:rsidRPr="00D147C4">
        <w:rPr>
          <w:rFonts w:ascii="Tahoma" w:hAnsi="Tahoma" w:cs="Tahoma"/>
          <w:b/>
          <w:bCs/>
          <w:shadow/>
          <w:sz w:val="21"/>
          <w:szCs w:val="21"/>
        </w:rPr>
        <w:t>PRESIDENTE</w:t>
      </w:r>
    </w:p>
    <w:p w:rsidR="00F31A7A" w:rsidRPr="00D147C4" w:rsidRDefault="00F31A7A" w:rsidP="00F31A7A">
      <w:pPr>
        <w:jc w:val="center"/>
        <w:rPr>
          <w:rFonts w:ascii="Tahoma" w:hAnsi="Tahoma" w:cs="Tahoma"/>
          <w:b/>
          <w:bCs/>
          <w:shadow/>
          <w:sz w:val="21"/>
          <w:szCs w:val="21"/>
        </w:rPr>
      </w:pPr>
    </w:p>
    <w:p w:rsidR="00F31A7A" w:rsidRPr="00D147C4" w:rsidRDefault="00F31A7A" w:rsidP="00F31A7A">
      <w:pPr>
        <w:jc w:val="center"/>
        <w:rPr>
          <w:rFonts w:ascii="Tahoma" w:hAnsi="Tahoma" w:cs="Tahoma"/>
          <w:b/>
          <w:bCs/>
          <w:shadow/>
          <w:sz w:val="21"/>
          <w:szCs w:val="21"/>
        </w:rPr>
      </w:pPr>
    </w:p>
    <w:p w:rsidR="00F31A7A" w:rsidRPr="00D147C4" w:rsidRDefault="00F31A7A" w:rsidP="00F31A7A">
      <w:pPr>
        <w:jc w:val="center"/>
        <w:rPr>
          <w:rFonts w:ascii="Tahoma" w:hAnsi="Tahoma" w:cs="Tahoma"/>
          <w:b/>
          <w:bCs/>
          <w:shadow/>
          <w:sz w:val="21"/>
          <w:szCs w:val="21"/>
        </w:rPr>
      </w:pPr>
    </w:p>
    <w:p w:rsidR="00F31A7A" w:rsidRPr="00D147C4" w:rsidRDefault="00F31A7A" w:rsidP="00F31A7A">
      <w:pPr>
        <w:jc w:val="center"/>
        <w:rPr>
          <w:rFonts w:ascii="Tahoma" w:hAnsi="Tahoma" w:cs="Tahoma"/>
          <w:b/>
          <w:shadow/>
          <w:sz w:val="21"/>
          <w:szCs w:val="21"/>
        </w:rPr>
      </w:pPr>
      <w:r w:rsidRPr="00D147C4">
        <w:rPr>
          <w:rFonts w:ascii="Tahoma" w:hAnsi="Tahoma" w:cs="Tahoma"/>
          <w:b/>
          <w:shadow/>
          <w:sz w:val="21"/>
          <w:szCs w:val="21"/>
        </w:rPr>
        <w:t xml:space="preserve">VOCAL           </w:t>
      </w:r>
      <w:r w:rsidRPr="00D147C4">
        <w:rPr>
          <w:rFonts w:ascii="Tahoma" w:hAnsi="Tahoma" w:cs="Tahoma"/>
          <w:b/>
          <w:shadow/>
          <w:sz w:val="21"/>
          <w:szCs w:val="21"/>
        </w:rPr>
        <w:tab/>
      </w:r>
      <w:r w:rsidRPr="00D147C4">
        <w:rPr>
          <w:rFonts w:ascii="Tahoma" w:hAnsi="Tahoma" w:cs="Tahoma"/>
          <w:b/>
          <w:shadow/>
          <w:sz w:val="21"/>
          <w:szCs w:val="21"/>
        </w:rPr>
        <w:tab/>
        <w:t xml:space="preserve">                                                                VOCAL</w:t>
      </w:r>
    </w:p>
    <w:p w:rsidR="00F31A7A" w:rsidRPr="00D147C4" w:rsidRDefault="00F31A7A" w:rsidP="00F31A7A">
      <w:pPr>
        <w:jc w:val="center"/>
        <w:rPr>
          <w:rFonts w:ascii="Tahoma" w:hAnsi="Tahoma" w:cs="Tahoma"/>
          <w:shadow/>
          <w:sz w:val="21"/>
          <w:szCs w:val="21"/>
        </w:rPr>
      </w:pPr>
    </w:p>
    <w:p w:rsidR="00F31A7A" w:rsidRPr="00D147C4" w:rsidRDefault="00F31A7A" w:rsidP="00F31A7A">
      <w:pPr>
        <w:rPr>
          <w:rFonts w:ascii="Tahoma" w:hAnsi="Tahoma" w:cs="Tahoma"/>
          <w:shadow/>
          <w:sz w:val="21"/>
          <w:szCs w:val="21"/>
        </w:rPr>
      </w:pPr>
    </w:p>
    <w:p w:rsidR="00F31A7A" w:rsidRPr="00D147C4" w:rsidRDefault="00F31A7A" w:rsidP="00F31A7A">
      <w:pPr>
        <w:jc w:val="both"/>
        <w:rPr>
          <w:rFonts w:ascii="Tahoma" w:hAnsi="Tahoma" w:cs="Tahoma"/>
          <w:sz w:val="21"/>
          <w:szCs w:val="21"/>
        </w:rPr>
      </w:pPr>
      <w:r w:rsidRPr="00D147C4">
        <w:rPr>
          <w:rFonts w:ascii="Tahoma" w:hAnsi="Tahoma" w:cs="Tahoma"/>
          <w:sz w:val="21"/>
          <w:szCs w:val="21"/>
        </w:rPr>
        <w:t>ss.</w:t>
      </w:r>
    </w:p>
    <w:p w:rsidR="008A0308" w:rsidRPr="00D147C4" w:rsidRDefault="008A0308" w:rsidP="008A0308">
      <w:pPr>
        <w:jc w:val="both"/>
        <w:rPr>
          <w:rFonts w:ascii="Tahoma" w:hAnsi="Tahoma" w:cs="Tahoma"/>
          <w:sz w:val="21"/>
          <w:szCs w:val="21"/>
        </w:rPr>
      </w:pPr>
      <w:r w:rsidRPr="00D147C4">
        <w:rPr>
          <w:rFonts w:ascii="Tahoma" w:hAnsi="Tahoma" w:cs="Tahoma"/>
          <w:sz w:val="21"/>
          <w:szCs w:val="21"/>
        </w:rPr>
        <w:t>Navas Rondón</w:t>
      </w:r>
    </w:p>
    <w:p w:rsidR="008A0308" w:rsidRPr="00D147C4" w:rsidRDefault="008A0308" w:rsidP="008A0308">
      <w:pPr>
        <w:jc w:val="both"/>
        <w:rPr>
          <w:rFonts w:ascii="Tahoma" w:hAnsi="Tahoma" w:cs="Tahoma"/>
          <w:color w:val="000000"/>
          <w:sz w:val="21"/>
          <w:szCs w:val="21"/>
        </w:rPr>
      </w:pPr>
      <w:r w:rsidRPr="00D147C4">
        <w:rPr>
          <w:rFonts w:ascii="Tahoma" w:hAnsi="Tahoma" w:cs="Tahoma"/>
          <w:color w:val="000000"/>
          <w:sz w:val="21"/>
          <w:szCs w:val="21"/>
        </w:rPr>
        <w:t xml:space="preserve">Ramírez Maynetto </w:t>
      </w:r>
    </w:p>
    <w:p w:rsidR="003B3C54" w:rsidRPr="00D147C4" w:rsidRDefault="008A0308" w:rsidP="008A0308">
      <w:pPr>
        <w:jc w:val="both"/>
        <w:rPr>
          <w:rFonts w:ascii="Tahoma" w:hAnsi="Tahoma" w:cs="Tahoma"/>
          <w:sz w:val="21"/>
          <w:szCs w:val="21"/>
        </w:rPr>
      </w:pPr>
      <w:r w:rsidRPr="00D147C4">
        <w:rPr>
          <w:rFonts w:ascii="Tahoma" w:hAnsi="Tahoma" w:cs="Tahoma"/>
          <w:sz w:val="21"/>
          <w:szCs w:val="21"/>
        </w:rPr>
        <w:t>Basulto Liewald</w:t>
      </w:r>
    </w:p>
    <w:sectPr w:rsidR="003B3C54" w:rsidRPr="00D147C4" w:rsidSect="0038791B">
      <w:headerReference w:type="default"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998" w:rsidRDefault="002E5998" w:rsidP="00F31A7A">
      <w:r>
        <w:separator/>
      </w:r>
    </w:p>
  </w:endnote>
  <w:endnote w:type="continuationSeparator" w:id="1">
    <w:p w:rsidR="002E5998" w:rsidRDefault="002E5998"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9C2EDE" w:rsidRPr="00D64584">
      <w:rPr>
        <w:i/>
        <w:sz w:val="20"/>
        <w:szCs w:val="20"/>
      </w:rPr>
      <w:fldChar w:fldCharType="begin"/>
    </w:r>
    <w:r w:rsidRPr="00D64584">
      <w:rPr>
        <w:i/>
        <w:sz w:val="20"/>
        <w:szCs w:val="20"/>
      </w:rPr>
      <w:instrText xml:space="preserve"> PAGE </w:instrText>
    </w:r>
    <w:r w:rsidR="009C2EDE" w:rsidRPr="00D64584">
      <w:rPr>
        <w:i/>
        <w:sz w:val="20"/>
        <w:szCs w:val="20"/>
      </w:rPr>
      <w:fldChar w:fldCharType="separate"/>
    </w:r>
    <w:r w:rsidR="00F30E4E">
      <w:rPr>
        <w:i/>
        <w:noProof/>
        <w:sz w:val="20"/>
        <w:szCs w:val="20"/>
      </w:rPr>
      <w:t>1</w:t>
    </w:r>
    <w:r w:rsidR="009C2EDE" w:rsidRPr="00D64584">
      <w:rPr>
        <w:i/>
        <w:sz w:val="20"/>
        <w:szCs w:val="20"/>
      </w:rPr>
      <w:fldChar w:fldCharType="end"/>
    </w:r>
    <w:r w:rsidRPr="00D64584">
      <w:rPr>
        <w:i/>
        <w:sz w:val="20"/>
        <w:szCs w:val="20"/>
      </w:rPr>
      <w:t xml:space="preserve"> de </w:t>
    </w:r>
    <w:r w:rsidR="009C2EDE" w:rsidRPr="00D64584">
      <w:rPr>
        <w:i/>
        <w:sz w:val="20"/>
        <w:szCs w:val="20"/>
      </w:rPr>
      <w:fldChar w:fldCharType="begin"/>
    </w:r>
    <w:r w:rsidRPr="00D64584">
      <w:rPr>
        <w:i/>
        <w:sz w:val="20"/>
        <w:szCs w:val="20"/>
      </w:rPr>
      <w:instrText xml:space="preserve"> NUMPAGES </w:instrText>
    </w:r>
    <w:r w:rsidR="009C2EDE" w:rsidRPr="00D64584">
      <w:rPr>
        <w:i/>
        <w:sz w:val="20"/>
        <w:szCs w:val="20"/>
      </w:rPr>
      <w:fldChar w:fldCharType="separate"/>
    </w:r>
    <w:r w:rsidR="00F30E4E">
      <w:rPr>
        <w:i/>
        <w:noProof/>
        <w:sz w:val="20"/>
        <w:szCs w:val="20"/>
      </w:rPr>
      <w:t>9</w:t>
    </w:r>
    <w:r w:rsidR="009C2EDE"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998" w:rsidRDefault="002E5998" w:rsidP="00F31A7A">
      <w:r>
        <w:separator/>
      </w:r>
    </w:p>
  </w:footnote>
  <w:footnote w:type="continuationSeparator" w:id="1">
    <w:p w:rsidR="002E5998" w:rsidRDefault="002E5998" w:rsidP="00F31A7A">
      <w:r>
        <w:continuationSeparator/>
      </w:r>
    </w:p>
  </w:footnote>
  <w:footnote w:id="2">
    <w:p w:rsidR="00D147C4" w:rsidRPr="00CD5734" w:rsidRDefault="00D147C4" w:rsidP="00D147C4">
      <w:pPr>
        <w:pStyle w:val="Textonotapie"/>
        <w:jc w:val="both"/>
        <w:rPr>
          <w:sz w:val="14"/>
          <w:szCs w:val="14"/>
        </w:rPr>
      </w:pPr>
      <w:r w:rsidRPr="00CD5734">
        <w:rPr>
          <w:rStyle w:val="Refdenotaalpie"/>
          <w:sz w:val="14"/>
          <w:szCs w:val="14"/>
        </w:rPr>
        <w:footnoteRef/>
      </w:r>
      <w:r w:rsidRPr="00CD5734">
        <w:rPr>
          <w:b/>
          <w:sz w:val="14"/>
          <w:szCs w:val="14"/>
        </w:rPr>
        <w:t xml:space="preserve"> </w:t>
      </w:r>
      <w:r w:rsidRPr="00CD5734">
        <w:rPr>
          <w:sz w:val="14"/>
          <w:szCs w:val="14"/>
        </w:rPr>
        <w:t>“</w:t>
      </w:r>
      <w:r w:rsidRPr="00CD5734">
        <w:rPr>
          <w:b/>
          <w:sz w:val="14"/>
          <w:szCs w:val="14"/>
        </w:rPr>
        <w:t>Artículo 237.- Infracciones y sanciones administrativas.- 1. Infracciones</w:t>
      </w:r>
      <w:r w:rsidRPr="00CD5734">
        <w:rPr>
          <w:sz w:val="14"/>
          <w:szCs w:val="14"/>
        </w:rPr>
        <w:t xml:space="preserve"> se impondrá sanción administrativa a los proveedores, postores y/o contratistas que:</w:t>
      </w:r>
    </w:p>
    <w:p w:rsidR="00D147C4" w:rsidRPr="00CD5734" w:rsidRDefault="00D147C4" w:rsidP="00D147C4">
      <w:pPr>
        <w:pStyle w:val="Textonotapie"/>
        <w:jc w:val="both"/>
        <w:rPr>
          <w:sz w:val="14"/>
          <w:szCs w:val="14"/>
        </w:rPr>
      </w:pPr>
      <w:r w:rsidRPr="00CD5734">
        <w:rPr>
          <w:sz w:val="14"/>
          <w:szCs w:val="14"/>
        </w:rPr>
        <w:t xml:space="preserve">(…) </w:t>
      </w:r>
    </w:p>
    <w:p w:rsidR="00D147C4" w:rsidRPr="00CD5734" w:rsidRDefault="00D147C4" w:rsidP="00D147C4">
      <w:pPr>
        <w:pStyle w:val="Textonotapie"/>
        <w:jc w:val="both"/>
        <w:rPr>
          <w:sz w:val="14"/>
          <w:szCs w:val="14"/>
        </w:rPr>
      </w:pPr>
      <w:r w:rsidRPr="00CD5734">
        <w:rPr>
          <w:sz w:val="14"/>
          <w:szCs w:val="14"/>
        </w:rPr>
        <w:t>i) Presenten documentos falsos o información inexacta a las Entidades o al Tribunal del OSCE(…)”</w:t>
      </w:r>
    </w:p>
    <w:p w:rsidR="00D147C4" w:rsidRPr="00CD5734" w:rsidRDefault="00D147C4" w:rsidP="00D147C4">
      <w:pPr>
        <w:pStyle w:val="Textonotapie"/>
        <w:ind w:left="360"/>
        <w:rPr>
          <w:sz w:val="14"/>
          <w:szCs w:val="14"/>
        </w:rPr>
      </w:pPr>
    </w:p>
  </w:footnote>
  <w:footnote w:id="3">
    <w:p w:rsidR="00D147C4" w:rsidRPr="007A67C7" w:rsidRDefault="00D147C4" w:rsidP="00D147C4">
      <w:pPr>
        <w:pStyle w:val="Textonotapie"/>
        <w:jc w:val="both"/>
        <w:rPr>
          <w:rFonts w:ascii="Tahoma" w:hAnsi="Tahoma" w:cs="Tahoma"/>
          <w:sz w:val="16"/>
          <w:szCs w:val="16"/>
        </w:rPr>
      </w:pPr>
      <w:r w:rsidRPr="00CD5734">
        <w:rPr>
          <w:rStyle w:val="Refdenotaalpie"/>
          <w:sz w:val="14"/>
          <w:szCs w:val="14"/>
        </w:rPr>
        <w:footnoteRef/>
      </w:r>
      <w:r w:rsidRPr="00CD5734">
        <w:rPr>
          <w:sz w:val="14"/>
          <w:szCs w:val="14"/>
        </w:rPr>
        <w:t xml:space="preserve"> </w:t>
      </w:r>
      <w:r w:rsidRPr="00CD5734">
        <w:rPr>
          <w:b/>
          <w:sz w:val="14"/>
          <w:szCs w:val="14"/>
        </w:rPr>
        <w:t>El Principio de Presunción de Veracidad</w:t>
      </w:r>
      <w:r w:rsidRPr="00CD5734">
        <w:rPr>
          <w:sz w:val="14"/>
          <w:szCs w:val="14"/>
        </w:rPr>
        <w:t xml:space="preserve"> consiste en </w:t>
      </w:r>
      <w:r w:rsidRPr="00CD5734">
        <w:rPr>
          <w:i/>
          <w:sz w:val="14"/>
          <w:szCs w:val="14"/>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CD5734">
        <w:rPr>
          <w:sz w:val="14"/>
          <w:szCs w:val="14"/>
        </w:rPr>
        <w:t xml:space="preserve"> MORÓN URBINA, Juan Carlos. </w:t>
      </w:r>
      <w:r w:rsidRPr="00CD5734">
        <w:rPr>
          <w:b/>
          <w:sz w:val="14"/>
          <w:szCs w:val="14"/>
        </w:rPr>
        <w:t>Comentarios a la Ley del Procedimiento Administrativo General</w:t>
      </w:r>
      <w:r w:rsidRPr="00CD5734">
        <w:rPr>
          <w:sz w:val="14"/>
          <w:szCs w:val="14"/>
        </w:rPr>
        <w:t>. Cuarta Edición. Lima: Gaceta Jurídica, 2005; pp. 74 -75.</w:t>
      </w:r>
    </w:p>
  </w:footnote>
  <w:footnote w:id="4">
    <w:p w:rsidR="00D147C4" w:rsidRPr="00817097" w:rsidRDefault="00D147C4" w:rsidP="00D147C4">
      <w:pPr>
        <w:pStyle w:val="Textonotapie"/>
        <w:jc w:val="both"/>
        <w:rPr>
          <w:rFonts w:cs="Tahoma"/>
          <w:sz w:val="16"/>
          <w:szCs w:val="16"/>
        </w:rPr>
      </w:pPr>
      <w:r w:rsidRPr="00817097">
        <w:rPr>
          <w:rStyle w:val="Refdenotaalpie"/>
          <w:rFonts w:cs="Tahoma"/>
          <w:sz w:val="16"/>
          <w:szCs w:val="16"/>
        </w:rPr>
        <w:footnoteRef/>
      </w:r>
      <w:r w:rsidRPr="00817097">
        <w:rPr>
          <w:rFonts w:cs="Tahoma"/>
          <w:sz w:val="16"/>
          <w:szCs w:val="16"/>
        </w:rPr>
        <w:t xml:space="preserve"> Documento obrante a fojas 177 de autos.</w:t>
      </w:r>
    </w:p>
  </w:footnote>
  <w:footnote w:id="5">
    <w:p w:rsidR="00D147C4" w:rsidRPr="00817097" w:rsidRDefault="00D147C4" w:rsidP="00D147C4">
      <w:pPr>
        <w:pStyle w:val="Textonotapie"/>
        <w:jc w:val="both"/>
        <w:rPr>
          <w:sz w:val="16"/>
          <w:szCs w:val="16"/>
        </w:rPr>
      </w:pPr>
      <w:r w:rsidRPr="00817097">
        <w:rPr>
          <w:rStyle w:val="Refdenotaalpie"/>
          <w:rFonts w:cs="Tahoma"/>
          <w:sz w:val="16"/>
          <w:szCs w:val="16"/>
        </w:rPr>
        <w:footnoteRef/>
      </w:r>
      <w:r w:rsidRPr="00817097">
        <w:rPr>
          <w:rFonts w:cs="Tahoma"/>
          <w:sz w:val="16"/>
          <w:szCs w:val="16"/>
        </w:rPr>
        <w:t xml:space="preserve"> Documento obrante a fojas 183 de autos.</w:t>
      </w:r>
    </w:p>
  </w:footnote>
  <w:footnote w:id="6">
    <w:p w:rsidR="00D147C4" w:rsidRDefault="00D147C4" w:rsidP="00D147C4">
      <w:pPr>
        <w:pStyle w:val="Textonotapie"/>
        <w:jc w:val="both"/>
      </w:pPr>
      <w:r w:rsidRPr="00817097">
        <w:rPr>
          <w:rStyle w:val="Refdenotaalpie"/>
          <w:sz w:val="16"/>
          <w:szCs w:val="16"/>
        </w:rPr>
        <w:footnoteRef/>
      </w:r>
      <w:r w:rsidRPr="00817097">
        <w:rPr>
          <w:sz w:val="16"/>
          <w:szCs w:val="16"/>
        </w:rPr>
        <w:t xml:space="preserve"> </w:t>
      </w:r>
      <w:r w:rsidRPr="00817097">
        <w:rPr>
          <w:b/>
          <w:sz w:val="16"/>
          <w:szCs w:val="16"/>
        </w:rPr>
        <w:t xml:space="preserve">1.3. Principio de impulso de oficio.- </w:t>
      </w:r>
      <w:r w:rsidRPr="00817097">
        <w:rPr>
          <w:sz w:val="16"/>
          <w:szCs w:val="16"/>
        </w:rPr>
        <w:t>Las autoridades deben dirigir e impulsar de oficio el procedimiento y ordenar la realización o práctica de los actos que resulten convenientes para el esclarecimiento y resolución de las cuestiones necesarias.</w:t>
      </w:r>
    </w:p>
  </w:footnote>
  <w:footnote w:id="7">
    <w:p w:rsidR="00D147C4" w:rsidRPr="006A0E5D" w:rsidRDefault="00D147C4" w:rsidP="00D147C4">
      <w:pPr>
        <w:pStyle w:val="Textonotapie"/>
        <w:jc w:val="both"/>
        <w:rPr>
          <w:sz w:val="16"/>
          <w:szCs w:val="16"/>
        </w:rPr>
      </w:pPr>
      <w:r w:rsidRPr="006A0E5D">
        <w:rPr>
          <w:rStyle w:val="Refdenotaalpie"/>
          <w:sz w:val="16"/>
          <w:szCs w:val="16"/>
        </w:rPr>
        <w:footnoteRef/>
      </w:r>
      <w:r w:rsidRPr="006A0E5D">
        <w:rPr>
          <w:sz w:val="16"/>
          <w:szCs w:val="16"/>
        </w:rPr>
        <w:t xml:space="preserve"> Mediante Oficio № 574-2011/STRI-LRA notificado el 06 de mayo de 2011, según cargo que obra en el expediente administrativo. </w:t>
      </w:r>
    </w:p>
  </w:footnote>
  <w:footnote w:id="8">
    <w:p w:rsidR="00D147C4" w:rsidRDefault="00D147C4" w:rsidP="00D147C4">
      <w:pPr>
        <w:pStyle w:val="Textonotapie"/>
      </w:pPr>
      <w:r w:rsidRPr="006A0E5D">
        <w:rPr>
          <w:rStyle w:val="Refdenotaalpie"/>
          <w:sz w:val="16"/>
          <w:szCs w:val="16"/>
        </w:rPr>
        <w:footnoteRef/>
      </w:r>
      <w:r w:rsidRPr="006A0E5D">
        <w:rPr>
          <w:sz w:val="16"/>
          <w:szCs w:val="16"/>
        </w:rPr>
        <w:t xml:space="preserve"> Documento obrante a folio 179 de autos.</w:t>
      </w:r>
    </w:p>
  </w:footnote>
  <w:footnote w:id="9">
    <w:p w:rsidR="00D147C4" w:rsidRDefault="00D147C4" w:rsidP="00D147C4">
      <w:pPr>
        <w:pStyle w:val="Textonotapie"/>
      </w:pPr>
      <w:r>
        <w:rPr>
          <w:rStyle w:val="Refdenotaalpie"/>
        </w:rPr>
        <w:footnoteRef/>
      </w:r>
      <w:r>
        <w:t xml:space="preserve"> </w:t>
      </w:r>
      <w:r w:rsidRPr="006A0E5D">
        <w:rPr>
          <w:sz w:val="16"/>
          <w:szCs w:val="16"/>
        </w:rPr>
        <w:t>Documento obrante a folio 179 de autos.</w:t>
      </w:r>
    </w:p>
  </w:footnote>
  <w:footnote w:id="10">
    <w:p w:rsidR="00D147C4" w:rsidRDefault="00D147C4" w:rsidP="00D147C4">
      <w:pPr>
        <w:pStyle w:val="Textonotapie"/>
        <w:rPr>
          <w:rFonts w:ascii="Tahoma" w:hAnsi="Tahoma" w:cs="Tahoma"/>
          <w:sz w:val="18"/>
          <w:szCs w:val="18"/>
        </w:rPr>
      </w:pPr>
      <w:r w:rsidRPr="008C5216">
        <w:rPr>
          <w:rStyle w:val="Refdenotaalpie"/>
          <w:rFonts w:ascii="Tahoma" w:hAnsi="Tahoma" w:cs="Tahoma"/>
          <w:sz w:val="18"/>
          <w:szCs w:val="18"/>
        </w:rPr>
        <w:footnoteRef/>
      </w:r>
      <w:r w:rsidRPr="008C5216">
        <w:rPr>
          <w:rFonts w:ascii="Tahoma" w:hAnsi="Tahoma" w:cs="Tahoma"/>
          <w:sz w:val="18"/>
          <w:szCs w:val="18"/>
        </w:rPr>
        <w:t xml:space="preserve"> MORÓN URBINA, Juan Carlos “Comentarios de la Ley del Procedimiento Administrativo General</w:t>
      </w:r>
      <w:r>
        <w:rPr>
          <w:rFonts w:ascii="Tahoma" w:hAnsi="Tahoma" w:cs="Tahoma"/>
          <w:sz w:val="18"/>
          <w:szCs w:val="18"/>
        </w:rPr>
        <w:t xml:space="preserve"> Séptima Edición. Gaceta Jurídica, Pág. 669.</w:t>
      </w:r>
    </w:p>
    <w:p w:rsidR="00D147C4" w:rsidRPr="008C5216" w:rsidRDefault="00D147C4" w:rsidP="00D147C4">
      <w:pPr>
        <w:pStyle w:val="Textonotapie"/>
        <w:rPr>
          <w:rFonts w:ascii="Tahoma" w:hAnsi="Tahoma"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E4E" w:rsidRDefault="00F30E4E" w:rsidP="00F30E4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30E4E" w:rsidRDefault="00F30E4E" w:rsidP="00F30E4E">
    <w:pPr>
      <w:pStyle w:val="Encabezado"/>
      <w:rPr>
        <w:noProof/>
      </w:rPr>
    </w:pPr>
  </w:p>
  <w:p w:rsidR="00F30E4E" w:rsidRDefault="00F30E4E" w:rsidP="00F30E4E">
    <w:pPr>
      <w:pStyle w:val="Encabezado"/>
      <w:rPr>
        <w:noProof/>
      </w:rPr>
    </w:pPr>
  </w:p>
  <w:p w:rsidR="00F30E4E" w:rsidRDefault="00F30E4E" w:rsidP="00F30E4E">
    <w:pPr>
      <w:pStyle w:val="Encabezado"/>
      <w:rPr>
        <w:noProof/>
      </w:rPr>
    </w:pPr>
  </w:p>
  <w:p w:rsidR="00F30E4E" w:rsidRDefault="00F30E4E" w:rsidP="00F30E4E">
    <w:pPr>
      <w:pStyle w:val="Encabezado"/>
      <w:jc w:val="center"/>
    </w:pPr>
    <w:r>
      <w:rPr>
        <w:rFonts w:ascii="Monotype Corsiva" w:hAnsi="Monotype Corsiva"/>
        <w:b/>
        <w:sz w:val="44"/>
        <w:szCs w:val="44"/>
      </w:rPr>
      <w:t xml:space="preserve">Resolución Nº   </w:t>
    </w:r>
    <w:r>
      <w:rPr>
        <w:rFonts w:ascii="Tahoma" w:hAnsi="Tahoma" w:cs="Tahoma"/>
        <w:b/>
        <w:sz w:val="44"/>
        <w:szCs w:val="44"/>
      </w:rPr>
      <w:t>891-2011-TC-S1</w:t>
    </w:r>
  </w:p>
  <w:p w:rsidR="00F30E4E" w:rsidRDefault="00F30E4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5D74B5FA"/>
    <w:lvl w:ilvl="0" w:tplc="C9A2E41C">
      <w:start w:val="1"/>
      <w:numFmt w:val="decimal"/>
      <w:lvlText w:val="%1."/>
      <w:lvlJc w:val="left"/>
      <w:pPr>
        <w:tabs>
          <w:tab w:val="num" w:pos="720"/>
        </w:tabs>
        <w:ind w:left="720" w:hanging="360"/>
      </w:pPr>
      <w:rPr>
        <w:b/>
        <w:sz w:val="20"/>
        <w:szCs w:val="20"/>
        <w:lang w:val="es-ES_tradnl"/>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84A29B7"/>
    <w:multiLevelType w:val="hybridMultilevel"/>
    <w:tmpl w:val="F6B4F378"/>
    <w:lvl w:ilvl="0" w:tplc="DC4A9F0E">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5">
    <w:nsid w:val="0D89661A"/>
    <w:multiLevelType w:val="hybridMultilevel"/>
    <w:tmpl w:val="535C76B8"/>
    <w:lvl w:ilvl="0" w:tplc="F4029CC2">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0112248"/>
    <w:multiLevelType w:val="hybridMultilevel"/>
    <w:tmpl w:val="06621EA4"/>
    <w:lvl w:ilvl="0" w:tplc="A7C0195A">
      <w:start w:val="3"/>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11A3AFC"/>
    <w:multiLevelType w:val="singleLevel"/>
    <w:tmpl w:val="F49CA2BE"/>
    <w:lvl w:ilvl="0">
      <w:start w:val="5"/>
      <w:numFmt w:val="decimal"/>
      <w:lvlText w:val="%1."/>
      <w:legacy w:legacy="1" w:legacySpace="0" w:legacyIndent="360"/>
      <w:lvlJc w:val="left"/>
      <w:rPr>
        <w:rFonts w:ascii="Tahoma" w:hAnsi="Tahoma" w:cs="Tahoma" w:hint="default"/>
        <w:b/>
        <w:sz w:val="23"/>
        <w:szCs w:val="23"/>
      </w:rPr>
    </w:lvl>
  </w:abstractNum>
  <w:abstractNum w:abstractNumId="9">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7E709E4"/>
    <w:multiLevelType w:val="hybridMultilevel"/>
    <w:tmpl w:val="4AC28740"/>
    <w:lvl w:ilvl="0" w:tplc="B8E6CAF2">
      <w:start w:val="1"/>
      <w:numFmt w:val="lowerRoman"/>
      <w:lvlText w:val="%1)"/>
      <w:lvlJc w:val="left"/>
      <w:pPr>
        <w:ind w:left="3280" w:hanging="360"/>
      </w:pPr>
      <w:rPr>
        <w:rFonts w:hint="default"/>
        <w:b/>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1">
    <w:nsid w:val="2E720AC6"/>
    <w:multiLevelType w:val="hybridMultilevel"/>
    <w:tmpl w:val="84D2FE7E"/>
    <w:lvl w:ilvl="0" w:tplc="E030217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2">
    <w:nsid w:val="37BB3AA8"/>
    <w:multiLevelType w:val="hybridMultilevel"/>
    <w:tmpl w:val="7ADCD1EA"/>
    <w:lvl w:ilvl="0" w:tplc="BA7A8036">
      <w:start w:val="1"/>
      <w:numFmt w:val="lowerRoman"/>
      <w:lvlText w:val="%1."/>
      <w:lvlJc w:val="right"/>
      <w:pPr>
        <w:ind w:left="1174" w:hanging="360"/>
      </w:pPr>
      <w:rPr>
        <w:b/>
      </w:rPr>
    </w:lvl>
    <w:lvl w:ilvl="1" w:tplc="0C0A0019" w:tentative="1">
      <w:start w:val="1"/>
      <w:numFmt w:val="lowerLetter"/>
      <w:lvlText w:val="%2."/>
      <w:lvlJc w:val="left"/>
      <w:pPr>
        <w:ind w:left="1894" w:hanging="360"/>
      </w:pPr>
    </w:lvl>
    <w:lvl w:ilvl="2" w:tplc="0C0A001B" w:tentative="1">
      <w:start w:val="1"/>
      <w:numFmt w:val="lowerRoman"/>
      <w:lvlText w:val="%3."/>
      <w:lvlJc w:val="right"/>
      <w:pPr>
        <w:ind w:left="2614" w:hanging="180"/>
      </w:pPr>
    </w:lvl>
    <w:lvl w:ilvl="3" w:tplc="0C0A000F" w:tentative="1">
      <w:start w:val="1"/>
      <w:numFmt w:val="decimal"/>
      <w:lvlText w:val="%4."/>
      <w:lvlJc w:val="left"/>
      <w:pPr>
        <w:ind w:left="3334" w:hanging="360"/>
      </w:pPr>
    </w:lvl>
    <w:lvl w:ilvl="4" w:tplc="0C0A0019" w:tentative="1">
      <w:start w:val="1"/>
      <w:numFmt w:val="lowerLetter"/>
      <w:lvlText w:val="%5."/>
      <w:lvlJc w:val="left"/>
      <w:pPr>
        <w:ind w:left="4054" w:hanging="360"/>
      </w:pPr>
    </w:lvl>
    <w:lvl w:ilvl="5" w:tplc="0C0A001B" w:tentative="1">
      <w:start w:val="1"/>
      <w:numFmt w:val="lowerRoman"/>
      <w:lvlText w:val="%6."/>
      <w:lvlJc w:val="right"/>
      <w:pPr>
        <w:ind w:left="4774" w:hanging="180"/>
      </w:pPr>
    </w:lvl>
    <w:lvl w:ilvl="6" w:tplc="0C0A000F" w:tentative="1">
      <w:start w:val="1"/>
      <w:numFmt w:val="decimal"/>
      <w:lvlText w:val="%7."/>
      <w:lvlJc w:val="left"/>
      <w:pPr>
        <w:ind w:left="5494" w:hanging="360"/>
      </w:pPr>
    </w:lvl>
    <w:lvl w:ilvl="7" w:tplc="0C0A0019" w:tentative="1">
      <w:start w:val="1"/>
      <w:numFmt w:val="lowerLetter"/>
      <w:lvlText w:val="%8."/>
      <w:lvlJc w:val="left"/>
      <w:pPr>
        <w:ind w:left="6214" w:hanging="360"/>
      </w:pPr>
    </w:lvl>
    <w:lvl w:ilvl="8" w:tplc="0C0A001B" w:tentative="1">
      <w:start w:val="1"/>
      <w:numFmt w:val="lowerRoman"/>
      <w:lvlText w:val="%9."/>
      <w:lvlJc w:val="right"/>
      <w:pPr>
        <w:ind w:left="6934" w:hanging="180"/>
      </w:pPr>
    </w:lvl>
  </w:abstractNum>
  <w:abstractNum w:abstractNumId="13">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6">
    <w:nsid w:val="47C06653"/>
    <w:multiLevelType w:val="singleLevel"/>
    <w:tmpl w:val="F49CA2BE"/>
    <w:lvl w:ilvl="0">
      <w:start w:val="5"/>
      <w:numFmt w:val="decimal"/>
      <w:lvlText w:val="%1."/>
      <w:legacy w:legacy="1" w:legacySpace="0" w:legacyIndent="360"/>
      <w:lvlJc w:val="left"/>
      <w:rPr>
        <w:rFonts w:ascii="Tahoma" w:hAnsi="Tahoma" w:cs="Tahoma" w:hint="default"/>
        <w:b/>
        <w:sz w:val="23"/>
        <w:szCs w:val="23"/>
      </w:rPr>
    </w:lvl>
  </w:abstractNum>
  <w:abstractNum w:abstractNumId="17">
    <w:nsid w:val="490628FE"/>
    <w:multiLevelType w:val="hybridMultilevel"/>
    <w:tmpl w:val="5A5AAEA8"/>
    <w:lvl w:ilvl="0" w:tplc="EFB20A9A">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9">
    <w:nsid w:val="5E1931F5"/>
    <w:multiLevelType w:val="hybridMultilevel"/>
    <w:tmpl w:val="D41CE2DC"/>
    <w:lvl w:ilvl="0" w:tplc="BD609598">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742A4401"/>
    <w:multiLevelType w:val="hybridMultilevel"/>
    <w:tmpl w:val="971A3CF4"/>
    <w:lvl w:ilvl="0" w:tplc="E2B007DA">
      <w:start w:val="1"/>
      <w:numFmt w:val="decimal"/>
      <w:lvlText w:val="%1."/>
      <w:lvlJc w:val="left"/>
      <w:pPr>
        <w:ind w:left="1287" w:hanging="360"/>
      </w:pPr>
      <w:rPr>
        <w:rFonts w:ascii="Tahoma" w:hAnsi="Tahoma" w:cs="Tahoma" w:hint="default"/>
        <w:b/>
        <w:i w:val="0"/>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EC759A6"/>
    <w:multiLevelType w:val="hybridMultilevel"/>
    <w:tmpl w:val="A8AC7E98"/>
    <w:lvl w:ilvl="0" w:tplc="CDE45A04">
      <w:start w:val="1"/>
      <w:numFmt w:val="decimal"/>
      <w:lvlText w:val="%1."/>
      <w:lvlJc w:val="left"/>
      <w:pPr>
        <w:tabs>
          <w:tab w:val="num" w:pos="360"/>
        </w:tabs>
        <w:ind w:left="360" w:hanging="360"/>
      </w:pPr>
      <w:rPr>
        <w:rFonts w:hint="default"/>
        <w:b/>
      </w:rPr>
    </w:lvl>
    <w:lvl w:ilvl="1" w:tplc="B9DCCB88">
      <w:start w:val="1"/>
      <w:numFmt w:val="lowerLetter"/>
      <w:lvlText w:val="%2."/>
      <w:lvlJc w:val="left"/>
      <w:pPr>
        <w:tabs>
          <w:tab w:val="num" w:pos="1080"/>
        </w:tabs>
        <w:ind w:left="1080" w:hanging="360"/>
      </w:pPr>
      <w:rPr>
        <w:rFonts w:hint="default"/>
        <w:b w:val="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20"/>
  </w:num>
  <w:num w:numId="2">
    <w:abstractNumId w:val="13"/>
  </w:num>
  <w:num w:numId="3">
    <w:abstractNumId w:val="18"/>
  </w:num>
  <w:num w:numId="4">
    <w:abstractNumId w:val="14"/>
  </w:num>
  <w:num w:numId="5">
    <w:abstractNumId w:val="21"/>
  </w:num>
  <w:num w:numId="6">
    <w:abstractNumId w:val="4"/>
  </w:num>
  <w:num w:numId="7">
    <w:abstractNumId w:val="0"/>
  </w:num>
  <w:num w:numId="8">
    <w:abstractNumId w:val="2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2"/>
  </w:num>
  <w:num w:numId="12">
    <w:abstractNumId w:val="15"/>
  </w:num>
  <w:num w:numId="13">
    <w:abstractNumId w:val="2"/>
  </w:num>
  <w:num w:numId="14">
    <w:abstractNumId w:val="11"/>
  </w:num>
  <w:num w:numId="15">
    <w:abstractNumId w:val="5"/>
  </w:num>
  <w:num w:numId="16">
    <w:abstractNumId w:val="12"/>
  </w:num>
  <w:num w:numId="17">
    <w:abstractNumId w:val="1"/>
  </w:num>
  <w:num w:numId="18">
    <w:abstractNumId w:val="7"/>
  </w:num>
  <w:num w:numId="19">
    <w:abstractNumId w:val="19"/>
  </w:num>
  <w:num w:numId="20">
    <w:abstractNumId w:val="17"/>
  </w:num>
  <w:num w:numId="21">
    <w:abstractNumId w:val="24"/>
  </w:num>
  <w:num w:numId="22">
    <w:abstractNumId w:val="16"/>
  </w:num>
  <w:num w:numId="23">
    <w:abstractNumId w:val="10"/>
  </w:num>
  <w:num w:numId="24">
    <w:abstractNumId w:val="8"/>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F31A7A"/>
    <w:rsid w:val="00020EEE"/>
    <w:rsid w:val="00070FAF"/>
    <w:rsid w:val="000853DB"/>
    <w:rsid w:val="000A09D0"/>
    <w:rsid w:val="000F237A"/>
    <w:rsid w:val="00117E78"/>
    <w:rsid w:val="001559F2"/>
    <w:rsid w:val="00165ACF"/>
    <w:rsid w:val="00190839"/>
    <w:rsid w:val="001C6C04"/>
    <w:rsid w:val="001D3157"/>
    <w:rsid w:val="001E459B"/>
    <w:rsid w:val="00243346"/>
    <w:rsid w:val="00244785"/>
    <w:rsid w:val="00266B38"/>
    <w:rsid w:val="002C7A0A"/>
    <w:rsid w:val="002E5998"/>
    <w:rsid w:val="002E7D7B"/>
    <w:rsid w:val="002F2CE4"/>
    <w:rsid w:val="00383035"/>
    <w:rsid w:val="003B3C54"/>
    <w:rsid w:val="003C17E3"/>
    <w:rsid w:val="003C4B76"/>
    <w:rsid w:val="003D41FE"/>
    <w:rsid w:val="00445F84"/>
    <w:rsid w:val="004504AC"/>
    <w:rsid w:val="004729F3"/>
    <w:rsid w:val="004F332E"/>
    <w:rsid w:val="00503296"/>
    <w:rsid w:val="0054123A"/>
    <w:rsid w:val="00544CD7"/>
    <w:rsid w:val="005C380D"/>
    <w:rsid w:val="005D3AB3"/>
    <w:rsid w:val="006238E2"/>
    <w:rsid w:val="00623C2C"/>
    <w:rsid w:val="006358E8"/>
    <w:rsid w:val="00642CC8"/>
    <w:rsid w:val="00642E9A"/>
    <w:rsid w:val="00656652"/>
    <w:rsid w:val="00657092"/>
    <w:rsid w:val="006C0410"/>
    <w:rsid w:val="006C4E34"/>
    <w:rsid w:val="006E19A7"/>
    <w:rsid w:val="006E5F31"/>
    <w:rsid w:val="00741529"/>
    <w:rsid w:val="007728C3"/>
    <w:rsid w:val="00781E29"/>
    <w:rsid w:val="007E5F0C"/>
    <w:rsid w:val="00804646"/>
    <w:rsid w:val="008445EA"/>
    <w:rsid w:val="00847257"/>
    <w:rsid w:val="008747A7"/>
    <w:rsid w:val="008A0308"/>
    <w:rsid w:val="008D167F"/>
    <w:rsid w:val="008E2FB1"/>
    <w:rsid w:val="009560FA"/>
    <w:rsid w:val="009B1C66"/>
    <w:rsid w:val="009C2EDE"/>
    <w:rsid w:val="00A21BBB"/>
    <w:rsid w:val="00AA4093"/>
    <w:rsid w:val="00AD7110"/>
    <w:rsid w:val="00B05429"/>
    <w:rsid w:val="00B2257E"/>
    <w:rsid w:val="00B55A4A"/>
    <w:rsid w:val="00B67DD8"/>
    <w:rsid w:val="00B769E4"/>
    <w:rsid w:val="00B778BE"/>
    <w:rsid w:val="00BA2FFB"/>
    <w:rsid w:val="00BB0120"/>
    <w:rsid w:val="00BB400F"/>
    <w:rsid w:val="00BC58A3"/>
    <w:rsid w:val="00BD171B"/>
    <w:rsid w:val="00BF4FB1"/>
    <w:rsid w:val="00BF50B0"/>
    <w:rsid w:val="00BF5DC8"/>
    <w:rsid w:val="00C24737"/>
    <w:rsid w:val="00CC086D"/>
    <w:rsid w:val="00CC5962"/>
    <w:rsid w:val="00CD02B0"/>
    <w:rsid w:val="00D147C4"/>
    <w:rsid w:val="00D4697A"/>
    <w:rsid w:val="00D46E7E"/>
    <w:rsid w:val="00D72AF0"/>
    <w:rsid w:val="00D916B6"/>
    <w:rsid w:val="00D93ED4"/>
    <w:rsid w:val="00DA1F47"/>
    <w:rsid w:val="00E15612"/>
    <w:rsid w:val="00E41CD3"/>
    <w:rsid w:val="00E51419"/>
    <w:rsid w:val="00E8118F"/>
    <w:rsid w:val="00E86C2E"/>
    <w:rsid w:val="00EA2BDE"/>
    <w:rsid w:val="00EA4E20"/>
    <w:rsid w:val="00EB7FD8"/>
    <w:rsid w:val="00F178DF"/>
    <w:rsid w:val="00F30E4E"/>
    <w:rsid w:val="00F31A7A"/>
    <w:rsid w:val="00F71648"/>
    <w:rsid w:val="00F92973"/>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0329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03296"/>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nhideWhenUsed/>
    <w:rsid w:val="008A0308"/>
    <w:pPr>
      <w:spacing w:after="120"/>
      <w:ind w:left="283"/>
    </w:pPr>
  </w:style>
  <w:style w:type="character" w:customStyle="1" w:styleId="SangradetextonormalCar">
    <w:name w:val="Sangría de texto normal Car"/>
    <w:basedOn w:val="Fuentedeprrafopredeter"/>
    <w:link w:val="Sangradetextonormal"/>
    <w:rsid w:val="008A030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4472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9</Pages>
  <Words>3524</Words>
  <Characters>19386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92</cp:revision>
  <cp:lastPrinted>2011-05-27T21:50:00Z</cp:lastPrinted>
  <dcterms:created xsi:type="dcterms:W3CDTF">2009-12-29T19:22:00Z</dcterms:created>
  <dcterms:modified xsi:type="dcterms:W3CDTF">2011-06-22T14:20:00Z</dcterms:modified>
</cp:coreProperties>
</file>